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03" w:rsidRDefault="00CF2A03" w:rsidP="00CF2A03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Conditional Update</w:t>
      </w:r>
    </w:p>
    <w:p w:rsidR="00CF2A03" w:rsidRDefault="00CF2A03" w:rsidP="00CF2A03">
      <w:pPr>
        <w:jc w:val="center"/>
        <w:rPr>
          <w:rFonts w:asciiTheme="minorHAnsi" w:hAnsiTheme="minorHAnsi" w:cs="Arial"/>
          <w:b/>
        </w:rPr>
      </w:pPr>
    </w:p>
    <w:p w:rsidR="00CF2A03" w:rsidRDefault="00CF2A03" w:rsidP="00CF2A0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Program: </w:t>
      </w:r>
      <w:r w:rsidR="005A546A">
        <w:rPr>
          <w:rFonts w:asciiTheme="minorHAnsi" w:hAnsiTheme="minorHAnsi" w:cs="Arial"/>
          <w:b/>
        </w:rPr>
        <w:t>Theatre Arts/Dance</w:t>
      </w:r>
    </w:p>
    <w:p w:rsidR="00CF2A03" w:rsidRDefault="00CF2A03" w:rsidP="00CF2A0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Area(s): Student Success and </w:t>
      </w:r>
      <w:r w:rsidR="005A546A">
        <w:rPr>
          <w:rFonts w:asciiTheme="minorHAnsi" w:hAnsiTheme="minorHAnsi" w:cs="Arial"/>
          <w:b/>
        </w:rPr>
        <w:t>Currency of Curriculum</w:t>
      </w:r>
      <w:r w:rsidR="005A546A">
        <w:rPr>
          <w:rFonts w:asciiTheme="minorHAnsi" w:hAnsiTheme="minorHAnsi" w:cs="Arial"/>
          <w:b/>
        </w:rPr>
        <w:br/>
      </w:r>
      <w:r w:rsidR="00845215">
        <w:rPr>
          <w:rFonts w:asciiTheme="minorHAnsi" w:hAnsiTheme="minorHAnsi" w:cs="Arial"/>
          <w:b/>
        </w:rPr>
        <w:t xml:space="preserve">Committee Representative: </w:t>
      </w:r>
      <w:r w:rsidR="00F84D63">
        <w:rPr>
          <w:rFonts w:asciiTheme="minorHAnsi" w:hAnsiTheme="minorHAnsi" w:cs="Arial"/>
          <w:b/>
        </w:rPr>
        <w:t>Celia Huston</w:t>
      </w:r>
      <w:r w:rsidR="00845215">
        <w:rPr>
          <w:rFonts w:asciiTheme="minorHAnsi" w:hAnsiTheme="minorHAnsi" w:cs="Arial"/>
          <w:b/>
        </w:rPr>
        <w:t xml:space="preserve"> </w:t>
      </w:r>
    </w:p>
    <w:p w:rsidR="00845215" w:rsidRDefault="00845215" w:rsidP="00CF2A03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Due: 5/4/2012</w:t>
      </w:r>
    </w:p>
    <w:p w:rsidR="00CF2A03" w:rsidRDefault="00CF2A03" w:rsidP="00845215">
      <w:pPr>
        <w:rPr>
          <w:rFonts w:asciiTheme="minorHAnsi" w:hAnsiTheme="minorHAnsi" w:cs="Arial"/>
          <w:b/>
        </w:rPr>
      </w:pPr>
    </w:p>
    <w:p w:rsidR="005A546A" w:rsidRDefault="005A546A" w:rsidP="005A546A">
      <w:pPr>
        <w:rPr>
          <w:rFonts w:ascii="Arial" w:hAnsi="Arial" w:cs="Arial"/>
          <w:b/>
          <w:sz w:val="20"/>
          <w:szCs w:val="20"/>
        </w:rPr>
      </w:pPr>
      <w:r w:rsidRPr="002810ED">
        <w:rPr>
          <w:rFonts w:ascii="Arial" w:hAnsi="Arial" w:cs="Arial"/>
          <w:b/>
          <w:sz w:val="20"/>
          <w:szCs w:val="20"/>
        </w:rPr>
        <w:t>Part II: Questions Related to Strategic Initiative: Student Success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5"/>
        <w:gridCol w:w="3748"/>
        <w:gridCol w:w="3703"/>
      </w:tblGrid>
      <w:tr w:rsidR="005A546A" w:rsidRPr="00A35BD7" w:rsidTr="00FC3FEE">
        <w:trPr>
          <w:tblHeader/>
        </w:trPr>
        <w:tc>
          <w:tcPr>
            <w:tcW w:w="2463" w:type="dxa"/>
            <w:vMerge w:val="restart"/>
          </w:tcPr>
          <w:p w:rsidR="005A546A" w:rsidRPr="00A35BD7" w:rsidRDefault="005A546A" w:rsidP="00FC3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Strategic Initiative</w:t>
            </w:r>
          </w:p>
        </w:tc>
        <w:tc>
          <w:tcPr>
            <w:tcW w:w="7113" w:type="dxa"/>
            <w:gridSpan w:val="2"/>
          </w:tcPr>
          <w:p w:rsidR="005A546A" w:rsidRPr="00A35BD7" w:rsidRDefault="005A546A" w:rsidP="00FC3F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Institutional Expectations</w:t>
            </w:r>
          </w:p>
        </w:tc>
      </w:tr>
      <w:tr w:rsidR="005A546A" w:rsidRPr="00A35BD7" w:rsidTr="00FC3FEE">
        <w:trPr>
          <w:tblHeader/>
        </w:trPr>
        <w:tc>
          <w:tcPr>
            <w:tcW w:w="2463" w:type="dxa"/>
            <w:vMerge/>
          </w:tcPr>
          <w:p w:rsidR="005A546A" w:rsidRPr="00A35BD7" w:rsidRDefault="005A546A" w:rsidP="00FC3F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3" w:type="dxa"/>
          </w:tcPr>
          <w:p w:rsidR="005A546A" w:rsidRPr="00A35BD7" w:rsidRDefault="005A546A" w:rsidP="00FC3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Does Not Meet</w:t>
            </w:r>
          </w:p>
        </w:tc>
        <w:tc>
          <w:tcPr>
            <w:tcW w:w="0" w:type="auto"/>
          </w:tcPr>
          <w:p w:rsidR="005A546A" w:rsidRPr="00A35BD7" w:rsidRDefault="005A546A" w:rsidP="00FC3F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35BD7">
              <w:rPr>
                <w:rFonts w:ascii="Arial" w:hAnsi="Arial" w:cs="Arial"/>
                <w:b/>
                <w:sz w:val="20"/>
                <w:szCs w:val="20"/>
              </w:rPr>
              <w:t>Meets</w:t>
            </w:r>
          </w:p>
        </w:tc>
      </w:tr>
      <w:tr w:rsidR="005A546A" w:rsidRPr="00A35BD7" w:rsidTr="00FC3FEE">
        <w:trPr>
          <w:tblHeader/>
        </w:trPr>
        <w:tc>
          <w:tcPr>
            <w:tcW w:w="0" w:type="auto"/>
            <w:gridSpan w:val="3"/>
          </w:tcPr>
          <w:p w:rsidR="005A546A" w:rsidRPr="00A35BD7" w:rsidRDefault="005A546A" w:rsidP="00FC3FE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 II: </w:t>
            </w:r>
            <w:r w:rsidRPr="00A35BD7">
              <w:rPr>
                <w:rFonts w:ascii="Arial" w:hAnsi="Arial" w:cs="Arial"/>
                <w:b/>
                <w:sz w:val="20"/>
                <w:szCs w:val="20"/>
              </w:rPr>
              <w:t>Student Success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-  Rubric</w:t>
            </w:r>
          </w:p>
        </w:tc>
      </w:tr>
      <w:tr w:rsidR="005A546A" w:rsidRPr="00A35BD7" w:rsidTr="00FC3FEE">
        <w:trPr>
          <w:tblHeader/>
        </w:trPr>
        <w:tc>
          <w:tcPr>
            <w:tcW w:w="0" w:type="auto"/>
          </w:tcPr>
          <w:p w:rsidR="005A546A" w:rsidRPr="00A35BD7" w:rsidRDefault="005A546A" w:rsidP="00FC3FEE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>Data demonstrating achievement of instructional or service success</w:t>
            </w:r>
          </w:p>
        </w:tc>
        <w:tc>
          <w:tcPr>
            <w:tcW w:w="0" w:type="auto"/>
          </w:tcPr>
          <w:p w:rsidR="005A546A" w:rsidRPr="00A35BD7" w:rsidRDefault="005A546A" w:rsidP="00FC3FEE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 xml:space="preserve">Program does not provide an adequate </w:t>
            </w:r>
            <w:r w:rsidRPr="00F233D7">
              <w:rPr>
                <w:rFonts w:ascii="Arial" w:hAnsi="Arial" w:cs="Arial"/>
                <w:i/>
                <w:sz w:val="20"/>
                <w:szCs w:val="20"/>
              </w:rPr>
              <w:t>analysis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of the data provided with respect to relevant program data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5A546A" w:rsidRDefault="005A546A" w:rsidP="00FC3FEE">
            <w:pPr>
              <w:rPr>
                <w:rFonts w:ascii="Arial" w:hAnsi="Arial" w:cs="Arial"/>
                <w:sz w:val="20"/>
                <w:szCs w:val="20"/>
              </w:rPr>
            </w:pPr>
            <w:r w:rsidRPr="00A35BD7">
              <w:rPr>
                <w:rFonts w:ascii="Arial" w:hAnsi="Arial" w:cs="Arial"/>
                <w:sz w:val="20"/>
                <w:szCs w:val="20"/>
              </w:rPr>
              <w:t xml:space="preserve">Program provides an </w:t>
            </w:r>
            <w:r w:rsidRPr="00F233D7">
              <w:rPr>
                <w:rFonts w:ascii="Arial" w:hAnsi="Arial" w:cs="Arial"/>
                <w:sz w:val="20"/>
                <w:szCs w:val="20"/>
                <w:u w:val="single"/>
              </w:rPr>
              <w:t>analysis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of the data</w:t>
            </w:r>
            <w:r>
              <w:rPr>
                <w:rFonts w:ascii="Arial" w:hAnsi="Arial" w:cs="Arial"/>
                <w:sz w:val="20"/>
                <w:szCs w:val="20"/>
              </w:rPr>
              <w:t xml:space="preserve"> which indicates progress on departmental goals.</w:t>
            </w:r>
            <w:r w:rsidRPr="00A35BD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A546A" w:rsidRPr="00A35BD7" w:rsidRDefault="005A546A" w:rsidP="00FC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applicable, supplemental data is analyzed. </w:t>
            </w:r>
          </w:p>
        </w:tc>
      </w:tr>
      <w:tr w:rsidR="005A546A" w:rsidRPr="00A35BD7" w:rsidTr="00FC3FEE">
        <w:trPr>
          <w:tblHeader/>
        </w:trPr>
        <w:tc>
          <w:tcPr>
            <w:tcW w:w="0" w:type="auto"/>
          </w:tcPr>
          <w:p w:rsidR="005A546A" w:rsidRPr="001526D4" w:rsidRDefault="005A546A" w:rsidP="00FC3FE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7A3C">
              <w:rPr>
                <w:rFonts w:ascii="Arial" w:hAnsi="Arial" w:cs="Arial"/>
                <w:sz w:val="20"/>
                <w:szCs w:val="20"/>
              </w:rPr>
              <w:t>Student Learning Outcomes and/or Student Achievement Outcomes</w:t>
            </w:r>
          </w:p>
        </w:tc>
        <w:tc>
          <w:tcPr>
            <w:tcW w:w="0" w:type="auto"/>
          </w:tcPr>
          <w:p w:rsidR="005A546A" w:rsidRPr="00B93FCA" w:rsidRDefault="005A546A" w:rsidP="00FC3FEE">
            <w:pPr>
              <w:rPr>
                <w:rFonts w:ascii="Arial" w:hAnsi="Arial" w:cs="Arial"/>
                <w:sz w:val="20"/>
                <w:szCs w:val="20"/>
              </w:rPr>
            </w:pPr>
            <w:r w:rsidRPr="00B93FCA">
              <w:rPr>
                <w:rFonts w:ascii="Arial" w:hAnsi="Arial" w:cs="Arial"/>
                <w:sz w:val="20"/>
                <w:szCs w:val="20"/>
              </w:rPr>
              <w:t>Program has not demonstrated that they have made progress on Student Learning Outcomes (SLOs) and/or Service Area 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93FCA">
              <w:rPr>
                <w:rFonts w:ascii="Arial" w:hAnsi="Arial" w:cs="Arial"/>
                <w:sz w:val="20"/>
                <w:szCs w:val="20"/>
              </w:rPr>
              <w:t xml:space="preserve"> (SAOs) based on the plans of the college since their last program efficacy.</w:t>
            </w:r>
          </w:p>
        </w:tc>
        <w:tc>
          <w:tcPr>
            <w:tcW w:w="0" w:type="auto"/>
          </w:tcPr>
          <w:p w:rsidR="005A546A" w:rsidRPr="00B93FCA" w:rsidRDefault="005A546A" w:rsidP="00FC3FEE">
            <w:pPr>
              <w:rPr>
                <w:rFonts w:ascii="Arial" w:hAnsi="Arial" w:cs="Arial"/>
                <w:sz w:val="20"/>
                <w:szCs w:val="20"/>
              </w:rPr>
            </w:pPr>
            <w:r w:rsidRPr="00B93FCA">
              <w:rPr>
                <w:rFonts w:ascii="Arial" w:hAnsi="Arial" w:cs="Arial"/>
                <w:sz w:val="20"/>
                <w:szCs w:val="20"/>
              </w:rPr>
              <w:t>Program has demonstrated that they have made progress on Student Learning Outcomes (SLOs) and/or Service Area Outcome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B93FCA">
              <w:rPr>
                <w:rFonts w:ascii="Arial" w:hAnsi="Arial" w:cs="Arial"/>
                <w:sz w:val="20"/>
                <w:szCs w:val="20"/>
              </w:rPr>
              <w:t xml:space="preserve"> (SAOs) based on the plans of the college since their last program efficacy.</w:t>
            </w:r>
          </w:p>
        </w:tc>
      </w:tr>
    </w:tbl>
    <w:p w:rsidR="005A546A" w:rsidRDefault="005A546A" w:rsidP="005A546A">
      <w:pPr>
        <w:rPr>
          <w:rFonts w:ascii="Arial" w:hAnsi="Arial" w:cs="Arial"/>
          <w:b/>
          <w:sz w:val="20"/>
          <w:szCs w:val="20"/>
        </w:rPr>
      </w:pPr>
    </w:p>
    <w:p w:rsidR="005A546A" w:rsidRDefault="005A546A" w:rsidP="005A546A">
      <w:pPr>
        <w:rPr>
          <w:rFonts w:ascii="Arial" w:hAnsi="Arial" w:cs="Arial"/>
          <w:b/>
          <w:sz w:val="20"/>
          <w:szCs w:val="20"/>
        </w:rPr>
      </w:pPr>
    </w:p>
    <w:p w:rsidR="005A546A" w:rsidRDefault="005A546A" w:rsidP="005A54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Success Data: Theatre Arts</w:t>
      </w:r>
    </w:p>
    <w:tbl>
      <w:tblPr>
        <w:tblW w:w="19376" w:type="dxa"/>
        <w:tblInd w:w="108" w:type="dxa"/>
        <w:tblLook w:val="04A0"/>
      </w:tblPr>
      <w:tblGrid>
        <w:gridCol w:w="1508"/>
        <w:gridCol w:w="1513"/>
        <w:gridCol w:w="1509"/>
        <w:gridCol w:w="1509"/>
        <w:gridCol w:w="1509"/>
        <w:gridCol w:w="1509"/>
        <w:gridCol w:w="1113"/>
        <w:gridCol w:w="2158"/>
        <w:gridCol w:w="1762"/>
        <w:gridCol w:w="1762"/>
        <w:gridCol w:w="1762"/>
        <w:gridCol w:w="1762"/>
      </w:tblGrid>
      <w:tr w:rsidR="005A546A" w:rsidRPr="006910D4" w:rsidTr="00F030F7">
        <w:trPr>
          <w:trHeight w:val="25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2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trHeight w:val="25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73025</wp:posOffset>
                  </wp:positionV>
                  <wp:extent cx="3326130" cy="1988820"/>
                  <wp:effectExtent l="19050" t="0" r="26670" b="0"/>
                  <wp:wrapNone/>
                  <wp:docPr id="2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anchor>
              </w:drawing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trHeight w:val="25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trHeight w:val="25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trHeight w:val="25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30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Retention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trHeight w:val="25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04-05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65%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73%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trHeight w:val="25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05-06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trHeight w:val="25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06-07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trHeight w:val="25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07-08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78%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trHeight w:val="25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08-09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84%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trHeight w:val="25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09-10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75%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91%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trHeight w:val="25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trHeight w:val="25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2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gridAfter w:val="1"/>
          <w:wAfter w:w="1762" w:type="dxa"/>
          <w:trHeight w:val="25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gridAfter w:val="1"/>
          <w:wAfter w:w="1762" w:type="dxa"/>
          <w:trHeight w:val="25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gridAfter w:val="1"/>
          <w:wAfter w:w="1762" w:type="dxa"/>
          <w:trHeight w:val="255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5A546A" w:rsidRPr="006910D4" w:rsidRDefault="005A546A" w:rsidP="00FC3F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6910D4" w:rsidRDefault="005A546A" w:rsidP="00FC3F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04-05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6910D4" w:rsidRDefault="005A546A" w:rsidP="00FC3F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05-06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6910D4" w:rsidRDefault="005A546A" w:rsidP="00FC3F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06-07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6910D4" w:rsidRDefault="005A546A" w:rsidP="00FC3F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07-08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6910D4" w:rsidRDefault="005A546A" w:rsidP="00FC3F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08-09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gridAfter w:val="1"/>
          <w:wAfter w:w="1762" w:type="dxa"/>
          <w:trHeight w:val="255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Sections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gridAfter w:val="1"/>
          <w:wAfter w:w="1762" w:type="dxa"/>
          <w:trHeight w:val="63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% of online enrollment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gridAfter w:val="1"/>
          <w:wAfter w:w="1762" w:type="dxa"/>
          <w:trHeight w:val="63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Degrees awarded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gridAfter w:val="1"/>
          <w:wAfter w:w="1762" w:type="dxa"/>
          <w:trHeight w:val="630"/>
        </w:trPr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 xml:space="preserve">Certificates awarded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gridAfter w:val="1"/>
          <w:wAfter w:w="1762" w:type="dxa"/>
          <w:trHeight w:val="255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6910D4" w:rsidTr="00F030F7">
        <w:trPr>
          <w:gridAfter w:val="1"/>
          <w:wAfter w:w="1762" w:type="dxa"/>
          <w:trHeight w:val="255"/>
        </w:trPr>
        <w:tc>
          <w:tcPr>
            <w:tcW w:w="60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10D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Data includes: SBVC, SOFF and SBBHS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6910D4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5A546A" w:rsidRDefault="005A546A" w:rsidP="005A546A">
      <w:pPr>
        <w:rPr>
          <w:rFonts w:ascii="Arial" w:hAnsi="Arial" w:cs="Arial"/>
          <w:b/>
          <w:sz w:val="20"/>
          <w:szCs w:val="20"/>
        </w:rPr>
      </w:pPr>
    </w:p>
    <w:p w:rsidR="005A546A" w:rsidRDefault="005A546A" w:rsidP="005A546A">
      <w:pPr>
        <w:rPr>
          <w:rFonts w:ascii="Arial" w:hAnsi="Arial" w:cs="Arial"/>
          <w:b/>
          <w:sz w:val="20"/>
          <w:szCs w:val="20"/>
        </w:rPr>
      </w:pPr>
    </w:p>
    <w:p w:rsidR="005A546A" w:rsidRDefault="005A546A" w:rsidP="005A546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Student Success Data: Dance</w:t>
      </w:r>
    </w:p>
    <w:tbl>
      <w:tblPr>
        <w:tblW w:w="12035" w:type="dxa"/>
        <w:tblInd w:w="108" w:type="dxa"/>
        <w:tblLook w:val="04A0"/>
      </w:tblPr>
      <w:tblGrid>
        <w:gridCol w:w="960"/>
        <w:gridCol w:w="839"/>
        <w:gridCol w:w="836"/>
        <w:gridCol w:w="836"/>
        <w:gridCol w:w="836"/>
        <w:gridCol w:w="1036"/>
        <w:gridCol w:w="836"/>
        <w:gridCol w:w="976"/>
        <w:gridCol w:w="976"/>
        <w:gridCol w:w="976"/>
        <w:gridCol w:w="976"/>
        <w:gridCol w:w="976"/>
        <w:gridCol w:w="976"/>
      </w:tblGrid>
      <w:tr w:rsidR="005A546A" w:rsidRPr="00BE425A" w:rsidTr="005A54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290830</wp:posOffset>
                  </wp:positionV>
                  <wp:extent cx="3619500" cy="2333625"/>
                  <wp:effectExtent l="19050" t="0" r="19050" b="0"/>
                  <wp:wrapNone/>
                  <wp:docPr id="1" name="Chart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anchor>
              </w:drawing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546A" w:rsidRDefault="005A546A" w:rsidP="00FC3FEE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20"/>
            </w:tblGrid>
            <w:tr w:rsidR="005A546A" w:rsidRPr="00BE425A" w:rsidTr="00FC3FEE">
              <w:trPr>
                <w:trHeight w:val="25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A546A" w:rsidRPr="00BE425A" w:rsidRDefault="005A546A" w:rsidP="00FC3FEE">
                  <w:pPr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A546A" w:rsidRPr="00BE425A" w:rsidRDefault="005A546A" w:rsidP="00FC3FEE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Success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Retention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04-05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05-06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74%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06-07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67%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07-08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46%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08-09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77%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09-10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63%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noWrap/>
            <w:vAlign w:val="center"/>
            <w:hideMark/>
          </w:tcPr>
          <w:p w:rsidR="005A546A" w:rsidRPr="00BE425A" w:rsidRDefault="005A546A" w:rsidP="00FC3F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BE425A" w:rsidRDefault="005A546A" w:rsidP="00FC3F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04-05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BE425A" w:rsidRDefault="005A546A" w:rsidP="00FC3F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05-06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BE425A" w:rsidRDefault="005A546A" w:rsidP="00FC3F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06-07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BE425A" w:rsidRDefault="005A546A" w:rsidP="00FC3F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07-08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BE425A" w:rsidRDefault="005A546A" w:rsidP="00FC3F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08-09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Sections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63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% of online enrollment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630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Degrees awarded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 xml:space="preserve">Certificates awarded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A546A" w:rsidRPr="00BE425A" w:rsidTr="005A546A">
        <w:trPr>
          <w:trHeight w:val="255"/>
        </w:trPr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E425A">
              <w:rPr>
                <w:rFonts w:ascii="Calibri" w:hAnsi="Calibri"/>
                <w:color w:val="000000"/>
                <w:sz w:val="20"/>
                <w:szCs w:val="20"/>
              </w:rPr>
              <w:t>Data includes: SBVC, SOFF and SBBHS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546A" w:rsidRPr="00BE425A" w:rsidRDefault="005A546A" w:rsidP="00FC3FEE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5A546A" w:rsidRPr="009F0FBF" w:rsidRDefault="005A546A" w:rsidP="005A546A">
      <w:pPr>
        <w:rPr>
          <w:rFonts w:ascii="Arial" w:hAnsi="Arial" w:cs="Arial"/>
          <w:b/>
          <w:sz w:val="20"/>
          <w:szCs w:val="20"/>
        </w:rPr>
      </w:pPr>
    </w:p>
    <w:p w:rsidR="005A546A" w:rsidRDefault="005A546A" w:rsidP="005A54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 an analysis of </w:t>
      </w:r>
      <w:r w:rsidRPr="009F0FBF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data</w:t>
      </w:r>
      <w:r w:rsidRPr="009F0F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and narrative </w:t>
      </w:r>
      <w:r w:rsidRPr="009F0FBF">
        <w:rPr>
          <w:rFonts w:ascii="Arial" w:hAnsi="Arial" w:cs="Arial"/>
          <w:sz w:val="20"/>
          <w:szCs w:val="20"/>
        </w:rPr>
        <w:t>from the progra</w:t>
      </w:r>
      <w:r>
        <w:rPr>
          <w:rFonts w:ascii="Arial" w:hAnsi="Arial" w:cs="Arial"/>
          <w:sz w:val="20"/>
          <w:szCs w:val="20"/>
        </w:rPr>
        <w:t>m’s EMP Summary</w:t>
      </w:r>
      <w:r w:rsidRPr="009F0FBF">
        <w:rPr>
          <w:rFonts w:ascii="Arial" w:hAnsi="Arial" w:cs="Arial"/>
          <w:sz w:val="20"/>
          <w:szCs w:val="20"/>
        </w:rPr>
        <w:t xml:space="preserve"> and </w:t>
      </w:r>
      <w:r>
        <w:rPr>
          <w:rFonts w:ascii="Arial" w:hAnsi="Arial" w:cs="Arial"/>
          <w:sz w:val="20"/>
          <w:szCs w:val="20"/>
        </w:rPr>
        <w:t xml:space="preserve">discuss </w:t>
      </w:r>
      <w:r w:rsidRPr="009F0FBF">
        <w:rPr>
          <w:rFonts w:ascii="Arial" w:hAnsi="Arial" w:cs="Arial"/>
          <w:sz w:val="20"/>
          <w:szCs w:val="20"/>
        </w:rPr>
        <w:t>wh</w:t>
      </w:r>
      <w:r>
        <w:rPr>
          <w:rFonts w:ascii="Arial" w:hAnsi="Arial" w:cs="Arial"/>
          <w:sz w:val="20"/>
          <w:szCs w:val="20"/>
        </w:rPr>
        <w:t>at it reveals about your program</w:t>
      </w:r>
      <w:r w:rsidRPr="009F0FBF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A546A" w:rsidRPr="009F0FBF" w:rsidRDefault="005A546A" w:rsidP="005A54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6"/>
      </w:tblGrid>
      <w:tr w:rsidR="005A546A" w:rsidRPr="003C3F9F" w:rsidTr="00FC3FEE">
        <w:tc>
          <w:tcPr>
            <w:tcW w:w="9576" w:type="dxa"/>
          </w:tcPr>
          <w:p w:rsidR="005A546A" w:rsidRDefault="000D5FD0" w:rsidP="00FC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Dance: Data Reveals</w:t>
            </w:r>
          </w:p>
          <w:p w:rsidR="000D5FD0" w:rsidRDefault="001310F2" w:rsidP="000D5F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program began in its current format in 2005-2006</w:t>
            </w:r>
            <w:r w:rsidR="000D5FD0">
              <w:rPr>
                <w:rFonts w:ascii="Arial" w:hAnsi="Arial" w:cs="Arial"/>
                <w:sz w:val="20"/>
                <w:szCs w:val="20"/>
              </w:rPr>
              <w:t xml:space="preserve"> and is still emerging</w:t>
            </w:r>
          </w:p>
          <w:p w:rsidR="000D5FD0" w:rsidRDefault="000D5FD0" w:rsidP="000D5F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noted in EMP there is a steady increase in enrollment from 20.27 FTES to 27 FTES in</w:t>
            </w:r>
            <w:r w:rsidR="001310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09/10</w:t>
            </w:r>
            <w:r w:rsidR="001310F2">
              <w:rPr>
                <w:rFonts w:ascii="Arial" w:hAnsi="Arial" w:cs="Arial"/>
                <w:sz w:val="20"/>
                <w:szCs w:val="20"/>
              </w:rPr>
              <w:t xml:space="preserve">.  Departmental data shows that FTES remained consistent in 2010-2011 at approximately 27.  Due to dramatic budget cuts, sections were reduced substantially in </w:t>
            </w:r>
            <w:proofErr w:type="gramStart"/>
            <w:r w:rsidR="001310F2">
              <w:rPr>
                <w:rFonts w:ascii="Arial" w:hAnsi="Arial" w:cs="Arial"/>
                <w:sz w:val="20"/>
                <w:szCs w:val="20"/>
              </w:rPr>
              <w:t>Fall</w:t>
            </w:r>
            <w:proofErr w:type="gramEnd"/>
            <w:r w:rsidR="001310F2">
              <w:rPr>
                <w:rFonts w:ascii="Arial" w:hAnsi="Arial" w:cs="Arial"/>
                <w:sz w:val="20"/>
                <w:szCs w:val="20"/>
              </w:rPr>
              <w:t>, 2011 when only 1 section was available, therefore, FTES will drop for the 11-12 year.</w:t>
            </w:r>
          </w:p>
          <w:p w:rsidR="000D5FD0" w:rsidRDefault="000D5FD0" w:rsidP="000D5F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Success has show</w:t>
            </w:r>
            <w:r w:rsidR="001310F2">
              <w:rPr>
                <w:rFonts w:ascii="Arial" w:hAnsi="Arial" w:cs="Arial"/>
                <w:sz w:val="20"/>
                <w:szCs w:val="20"/>
              </w:rPr>
              <w:t>n a</w:t>
            </w:r>
            <w:r>
              <w:rPr>
                <w:rFonts w:ascii="Arial" w:hAnsi="Arial" w:cs="Arial"/>
                <w:sz w:val="20"/>
                <w:szCs w:val="20"/>
              </w:rPr>
              <w:t xml:space="preserve"> dramatic improvement since 05/06 going from 46% to </w:t>
            </w:r>
            <w:r w:rsidR="001310F2">
              <w:rPr>
                <w:rFonts w:ascii="Arial" w:hAnsi="Arial" w:cs="Arial"/>
                <w:sz w:val="20"/>
                <w:szCs w:val="20"/>
              </w:rPr>
              <w:t>65%.  The Program</w:t>
            </w:r>
            <w:r>
              <w:rPr>
                <w:rFonts w:ascii="Arial" w:hAnsi="Arial" w:cs="Arial"/>
                <w:sz w:val="20"/>
                <w:szCs w:val="20"/>
              </w:rPr>
              <w:t xml:space="preserve"> anticipates </w:t>
            </w:r>
            <w:r w:rsidR="001310F2">
              <w:rPr>
                <w:rFonts w:ascii="Arial" w:hAnsi="Arial" w:cs="Arial"/>
                <w:sz w:val="20"/>
                <w:szCs w:val="20"/>
              </w:rPr>
              <w:t xml:space="preserve">continued improvement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</w:t>
            </w:r>
            <w:r w:rsidR="001310F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replacement of </w:t>
            </w:r>
            <w:r w:rsidR="001310F2">
              <w:rPr>
                <w:rFonts w:ascii="Arial" w:hAnsi="Arial" w:cs="Arial"/>
                <w:sz w:val="20"/>
                <w:szCs w:val="20"/>
              </w:rPr>
              <w:t>a full-time</w:t>
            </w:r>
            <w:r>
              <w:rPr>
                <w:rFonts w:ascii="Arial" w:hAnsi="Arial" w:cs="Arial"/>
                <w:sz w:val="20"/>
                <w:szCs w:val="20"/>
              </w:rPr>
              <w:t xml:space="preserve"> Theatre Arts faculty and would increase even further with </w:t>
            </w:r>
            <w:r w:rsidR="001310F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addition of FT Dance faculty</w:t>
            </w:r>
            <w:r w:rsidR="001310F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5FD0" w:rsidRDefault="000D5FD0" w:rsidP="000D5F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Success Rate has been </w:t>
            </w:r>
            <w:r w:rsidR="001310F2">
              <w:rPr>
                <w:rFonts w:ascii="Arial" w:hAnsi="Arial" w:cs="Arial"/>
                <w:sz w:val="20"/>
                <w:szCs w:val="20"/>
              </w:rPr>
              <w:t xml:space="preserve">slightly </w:t>
            </w:r>
            <w:r>
              <w:rPr>
                <w:rFonts w:ascii="Arial" w:hAnsi="Arial" w:cs="Arial"/>
                <w:sz w:val="20"/>
                <w:szCs w:val="20"/>
              </w:rPr>
              <w:t>above campus average for the last two years.</w:t>
            </w:r>
          </w:p>
          <w:p w:rsidR="000D5FD0" w:rsidRDefault="000D5FD0" w:rsidP="000D5F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retention remains stable at an average of 74% over a five-year period. The</w:t>
            </w:r>
            <w:r w:rsidR="004D3C88">
              <w:rPr>
                <w:rFonts w:ascii="Arial" w:hAnsi="Arial" w:cs="Arial"/>
                <w:sz w:val="20"/>
                <w:szCs w:val="20"/>
              </w:rPr>
              <w:t xml:space="preserve"> reason for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low point of 67% in 06/07 </w:t>
            </w:r>
            <w:r w:rsidR="004D3C88">
              <w:rPr>
                <w:rFonts w:ascii="Arial" w:hAnsi="Arial" w:cs="Arial"/>
                <w:sz w:val="20"/>
                <w:szCs w:val="20"/>
              </w:rPr>
              <w:t>is unclear, though will be tracked more carefully with the assistance of a full-time theater instructor.  There is some concern as</w:t>
            </w:r>
            <w:r w:rsidR="00BD4CB8">
              <w:rPr>
                <w:rFonts w:ascii="Arial" w:hAnsi="Arial" w:cs="Arial"/>
                <w:sz w:val="20"/>
                <w:szCs w:val="20"/>
              </w:rPr>
              <w:t xml:space="preserve"> the auditorium will be closed for additional renovation work beginning in January of 2013.  At that time, the dance program will need to be permanently relocated</w:t>
            </w:r>
            <w:r w:rsidR="004D3C88">
              <w:rPr>
                <w:rFonts w:ascii="Arial" w:hAnsi="Arial" w:cs="Arial"/>
                <w:sz w:val="20"/>
                <w:szCs w:val="20"/>
              </w:rPr>
              <w:t>, likely to either the MAC or to the gym</w:t>
            </w:r>
            <w:r w:rsidR="00BD4CB8">
              <w:rPr>
                <w:rFonts w:ascii="Arial" w:hAnsi="Arial" w:cs="Arial"/>
                <w:sz w:val="20"/>
                <w:szCs w:val="20"/>
              </w:rPr>
              <w:t xml:space="preserve"> as the dance studio will be eliminated</w:t>
            </w:r>
            <w:r w:rsidR="004D3C88">
              <w:rPr>
                <w:rFonts w:ascii="Arial" w:hAnsi="Arial" w:cs="Arial"/>
                <w:sz w:val="20"/>
                <w:szCs w:val="20"/>
              </w:rPr>
              <w:t xml:space="preserve"> from its current location in the auditorium</w:t>
            </w:r>
            <w:r w:rsidR="00BD4CB8">
              <w:rPr>
                <w:rFonts w:ascii="Arial" w:hAnsi="Arial" w:cs="Arial"/>
                <w:sz w:val="20"/>
                <w:szCs w:val="20"/>
              </w:rPr>
              <w:t>.</w:t>
            </w:r>
            <w:r w:rsidR="004D3C88">
              <w:rPr>
                <w:rFonts w:ascii="Arial" w:hAnsi="Arial" w:cs="Arial"/>
                <w:sz w:val="20"/>
                <w:szCs w:val="20"/>
              </w:rPr>
              <w:t xml:space="preserve">  Though the program will be permanently housed elsewhere, it is important that dance remain within the performing arts as a philosophy </w:t>
            </w:r>
            <w:r w:rsidR="004D3C88">
              <w:rPr>
                <w:rFonts w:ascii="Arial" w:hAnsi="Arial" w:cs="Arial"/>
                <w:sz w:val="20"/>
                <w:szCs w:val="20"/>
              </w:rPr>
              <w:lastRenderedPageBreak/>
              <w:t>and a discipline.</w:t>
            </w:r>
          </w:p>
          <w:p w:rsidR="000D5FD0" w:rsidRDefault="000D5FD0" w:rsidP="000D5FD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Retention </w:t>
            </w:r>
            <w:r w:rsidR="00BD4CB8">
              <w:rPr>
                <w:rFonts w:ascii="Arial" w:hAnsi="Arial" w:cs="Arial"/>
                <w:sz w:val="20"/>
                <w:szCs w:val="20"/>
              </w:rPr>
              <w:t xml:space="preserve">in the dance program </w:t>
            </w:r>
            <w:r>
              <w:rPr>
                <w:rFonts w:ascii="Arial" w:hAnsi="Arial" w:cs="Arial"/>
                <w:sz w:val="20"/>
                <w:szCs w:val="20"/>
              </w:rPr>
              <w:t xml:space="preserve">has been below </w:t>
            </w:r>
            <w:r w:rsidR="00BD4CB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campus average</w:t>
            </w:r>
            <w:r w:rsidR="00BD4CB8">
              <w:rPr>
                <w:rFonts w:ascii="Arial" w:hAnsi="Arial" w:cs="Arial"/>
                <w:sz w:val="20"/>
                <w:szCs w:val="20"/>
              </w:rPr>
              <w:t>.  This may be attributed to a variety of issues, including an insufficient dance studio size</w:t>
            </w:r>
            <w:r w:rsidR="004D3C88">
              <w:rPr>
                <w:rFonts w:ascii="Arial" w:hAnsi="Arial" w:cs="Arial"/>
                <w:sz w:val="20"/>
                <w:szCs w:val="20"/>
              </w:rPr>
              <w:t>, requiring smaller initial enrollments</w:t>
            </w:r>
            <w:r w:rsidR="00BD4CB8">
              <w:rPr>
                <w:rFonts w:ascii="Arial" w:hAnsi="Arial" w:cs="Arial"/>
                <w:sz w:val="20"/>
                <w:szCs w:val="20"/>
              </w:rPr>
              <w:t>.</w:t>
            </w:r>
            <w:r w:rsidR="004D3C88">
              <w:rPr>
                <w:rFonts w:ascii="Arial" w:hAnsi="Arial" w:cs="Arial"/>
                <w:sz w:val="20"/>
                <w:szCs w:val="20"/>
              </w:rPr>
              <w:t xml:space="preserve">  Losing a single student has a larger impact on percentage with a class size of 20-25 as opposed to 35-40.</w:t>
            </w:r>
            <w:r w:rsidR="00BD4CB8">
              <w:rPr>
                <w:rFonts w:ascii="Arial" w:hAnsi="Arial" w:cs="Arial"/>
                <w:sz w:val="20"/>
                <w:szCs w:val="20"/>
              </w:rPr>
              <w:t xml:space="preserve">  This may improve when dance is relocated from the auditorium in Spring, 2013.  Additionally, a full-time faculty member could more effectively nurture this fledgling program.</w:t>
            </w:r>
          </w:p>
          <w:p w:rsidR="001310F2" w:rsidRPr="001310F2" w:rsidRDefault="000D5FD0" w:rsidP="001310F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Dance is not tied to a certificate or degree, but meets </w:t>
            </w:r>
            <w:r w:rsidR="00FC3FEE">
              <w:rPr>
                <w:rFonts w:ascii="Arial" w:hAnsi="Arial" w:cs="Arial"/>
                <w:sz w:val="20"/>
                <w:szCs w:val="20"/>
              </w:rPr>
              <w:t>degree and transfer requirements f</w:t>
            </w:r>
            <w:r w:rsidR="00BD4CB8">
              <w:rPr>
                <w:rFonts w:ascii="Arial" w:hAnsi="Arial" w:cs="Arial"/>
                <w:sz w:val="20"/>
                <w:szCs w:val="20"/>
              </w:rPr>
              <w:t>or Humanities and P.E. &amp; Health.  Dance, as a performance art, is highly sought after by our students, and the sections which have been offered have had a 100% fill rate, consistently.</w:t>
            </w:r>
          </w:p>
          <w:p w:rsidR="00FC3FEE" w:rsidRDefault="00FC3FEE" w:rsidP="00FC3FEE">
            <w:pPr>
              <w:rPr>
                <w:rFonts w:ascii="Arial" w:hAnsi="Arial" w:cs="Arial"/>
                <w:sz w:val="20"/>
                <w:szCs w:val="20"/>
              </w:rPr>
            </w:pPr>
          </w:p>
          <w:p w:rsidR="00FC3FEE" w:rsidRDefault="00FC3FEE" w:rsidP="00FC3F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Theatre Arts: Data Reveals</w:t>
            </w:r>
          </w:p>
          <w:p w:rsidR="00FC3FEE" w:rsidRDefault="00BD4CB8" w:rsidP="00FC3F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Educational Master Plan indicates that the </w:t>
            </w:r>
            <w:r w:rsidR="00FC3FEE">
              <w:rPr>
                <w:rFonts w:ascii="Arial" w:hAnsi="Arial" w:cs="Arial"/>
                <w:sz w:val="20"/>
                <w:szCs w:val="20"/>
              </w:rPr>
              <w:t>program provides prep</w:t>
            </w:r>
            <w:r>
              <w:rPr>
                <w:rFonts w:ascii="Arial" w:hAnsi="Arial" w:cs="Arial"/>
                <w:sz w:val="20"/>
                <w:szCs w:val="20"/>
              </w:rPr>
              <w:t>aration</w:t>
            </w:r>
            <w:r w:rsidR="00FC3FEE">
              <w:rPr>
                <w:rFonts w:ascii="Arial" w:hAnsi="Arial" w:cs="Arial"/>
                <w:sz w:val="20"/>
                <w:szCs w:val="20"/>
              </w:rPr>
              <w:t xml:space="preserve"> for entrance in the </w:t>
            </w:r>
            <w:r>
              <w:rPr>
                <w:rFonts w:ascii="Arial" w:hAnsi="Arial" w:cs="Arial"/>
                <w:sz w:val="20"/>
                <w:szCs w:val="20"/>
              </w:rPr>
              <w:t>theater</w:t>
            </w:r>
            <w:r w:rsidR="00FC3FEE">
              <w:rPr>
                <w:rFonts w:ascii="Arial" w:hAnsi="Arial" w:cs="Arial"/>
                <w:sz w:val="20"/>
                <w:szCs w:val="20"/>
              </w:rPr>
              <w:t xml:space="preserve"> industry and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transfer to four</w:t>
            </w:r>
            <w:r w:rsidR="00FC3FEE">
              <w:rPr>
                <w:rFonts w:ascii="Arial" w:hAnsi="Arial" w:cs="Arial"/>
                <w:sz w:val="20"/>
                <w:szCs w:val="20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</w:rPr>
              <w:t>ear</w:t>
            </w:r>
            <w:r w:rsidR="00FC3FEE">
              <w:rPr>
                <w:rFonts w:ascii="Arial" w:hAnsi="Arial" w:cs="Arial"/>
                <w:sz w:val="20"/>
                <w:szCs w:val="20"/>
              </w:rPr>
              <w:t xml:space="preserve"> colleges</w:t>
            </w:r>
            <w:r>
              <w:rPr>
                <w:rFonts w:ascii="Arial" w:hAnsi="Arial" w:cs="Arial"/>
                <w:sz w:val="20"/>
                <w:szCs w:val="20"/>
              </w:rPr>
              <w:t xml:space="preserve">.  The success and retention rates are steady.  The program has maintained a breadth </w:t>
            </w:r>
            <w:r w:rsidR="001B1CC8">
              <w:rPr>
                <w:rFonts w:ascii="Arial" w:hAnsi="Arial" w:cs="Arial"/>
                <w:sz w:val="20"/>
                <w:szCs w:val="20"/>
              </w:rPr>
              <w:t>of offerings</w:t>
            </w:r>
            <w:r>
              <w:rPr>
                <w:rFonts w:ascii="Arial" w:hAnsi="Arial" w:cs="Arial"/>
                <w:sz w:val="20"/>
                <w:szCs w:val="20"/>
              </w:rPr>
              <w:t xml:space="preserve"> supporting </w:t>
            </w:r>
            <w:r w:rsidR="001B1CC8">
              <w:rPr>
                <w:rFonts w:ascii="Arial" w:hAnsi="Arial" w:cs="Arial"/>
                <w:sz w:val="20"/>
                <w:szCs w:val="20"/>
              </w:rPr>
              <w:t>performance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technical skills, as well as general education courses in the humanities which apply to both transfer and AA/AS degrees.</w:t>
            </w:r>
          </w:p>
          <w:p w:rsidR="00FC3FEE" w:rsidRDefault="00FC3FEE" w:rsidP="00FC3F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Success</w:t>
            </w:r>
            <w:r w:rsidR="00BD4CB8">
              <w:rPr>
                <w:rFonts w:ascii="Arial" w:hAnsi="Arial" w:cs="Arial"/>
                <w:sz w:val="20"/>
                <w:szCs w:val="20"/>
              </w:rPr>
              <w:t xml:space="preserve"> has</w:t>
            </w:r>
            <w:r>
              <w:rPr>
                <w:rFonts w:ascii="Arial" w:hAnsi="Arial" w:cs="Arial"/>
                <w:sz w:val="20"/>
                <w:szCs w:val="20"/>
              </w:rPr>
              <w:t xml:space="preserve"> consistently</w:t>
            </w:r>
            <w:r w:rsidR="00BD4CB8">
              <w:rPr>
                <w:rFonts w:ascii="Arial" w:hAnsi="Arial" w:cs="Arial"/>
                <w:sz w:val="20"/>
                <w:szCs w:val="20"/>
              </w:rPr>
              <w:t xml:space="preserve"> been</w:t>
            </w:r>
            <w:r>
              <w:rPr>
                <w:rFonts w:ascii="Arial" w:hAnsi="Arial" w:cs="Arial"/>
                <w:sz w:val="20"/>
                <w:szCs w:val="20"/>
              </w:rPr>
              <w:t xml:space="preserve"> 14 – 18% higher than </w:t>
            </w:r>
            <w:r w:rsidR="00BD4CB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campus average since 05/06</w:t>
            </w:r>
          </w:p>
          <w:p w:rsidR="00FC3FEE" w:rsidRDefault="00FC3FEE" w:rsidP="00FC3F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Retention rate 90% - 91% for 05/06; 06/07; 09/10 – although still 5% higher than campus retention rate, it should be noted that retention fell to 84% in 07/08; 08/09</w:t>
            </w:r>
            <w:r w:rsidR="00540D4D">
              <w:rPr>
                <w:rFonts w:ascii="Arial" w:hAnsi="Arial" w:cs="Arial"/>
                <w:sz w:val="20"/>
                <w:szCs w:val="20"/>
              </w:rPr>
              <w:t>.  While the department has explored possible reasons for this dro</w:t>
            </w:r>
            <w:r w:rsidR="001B1CC8">
              <w:rPr>
                <w:rFonts w:ascii="Arial" w:hAnsi="Arial" w:cs="Arial"/>
                <w:sz w:val="20"/>
                <w:szCs w:val="20"/>
              </w:rPr>
              <w:t>p, and has found no clear</w:t>
            </w:r>
            <w:r w:rsidR="00DA71EC">
              <w:rPr>
                <w:rFonts w:ascii="Arial" w:hAnsi="Arial" w:cs="Arial"/>
                <w:sz w:val="20"/>
                <w:szCs w:val="20"/>
              </w:rPr>
              <w:t xml:space="preserve"> answer.</w:t>
            </w:r>
            <w:r w:rsidR="001B1CC8">
              <w:rPr>
                <w:rFonts w:ascii="Arial" w:hAnsi="Arial" w:cs="Arial"/>
                <w:sz w:val="20"/>
                <w:szCs w:val="20"/>
              </w:rPr>
              <w:t xml:space="preserve"> The loss of full-time faculty member, Denise Jacobs, has hindered the department’s ability to discuss possible issues of that time. I</w:t>
            </w:r>
            <w:r w:rsidR="00540D4D">
              <w:rPr>
                <w:rFonts w:ascii="Arial" w:hAnsi="Arial" w:cs="Arial"/>
                <w:sz w:val="20"/>
                <w:szCs w:val="20"/>
              </w:rPr>
              <w:t>t should be noted that the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 returned to </w:t>
            </w:r>
            <w:r w:rsidR="00540D4D">
              <w:rPr>
                <w:rFonts w:ascii="Arial" w:hAnsi="Arial" w:cs="Arial"/>
                <w:sz w:val="20"/>
                <w:szCs w:val="20"/>
              </w:rPr>
              <w:t>its more normal retention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 09/10</w:t>
            </w:r>
            <w:r w:rsidR="00540D4D">
              <w:rPr>
                <w:rFonts w:ascii="Arial" w:hAnsi="Arial" w:cs="Arial"/>
                <w:sz w:val="20"/>
                <w:szCs w:val="20"/>
              </w:rPr>
              <w:t xml:space="preserve"> and 10-11 and 11-12 data shows continued “normal” retention of 87% and 93% respectively (EIS.)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C3FEE" w:rsidRDefault="00540D4D" w:rsidP="0066096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Theater Arts</w:t>
            </w:r>
            <w:r w:rsidR="006609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3FEE">
              <w:rPr>
                <w:rFonts w:ascii="Arial" w:hAnsi="Arial" w:cs="Arial"/>
                <w:sz w:val="20"/>
                <w:szCs w:val="20"/>
              </w:rPr>
              <w:t>is not</w:t>
            </w:r>
            <w:r>
              <w:rPr>
                <w:rFonts w:ascii="Arial" w:hAnsi="Arial" w:cs="Arial"/>
                <w:sz w:val="20"/>
                <w:szCs w:val="20"/>
              </w:rPr>
              <w:t xml:space="preserve"> currently</w:t>
            </w:r>
            <w:r w:rsidR="00FC3FEE">
              <w:rPr>
                <w:rFonts w:ascii="Arial" w:hAnsi="Arial" w:cs="Arial"/>
                <w:sz w:val="20"/>
                <w:szCs w:val="20"/>
              </w:rPr>
              <w:t xml:space="preserve"> tied to a certificate or degree, but meets degree and transfer requirements for Humanities</w:t>
            </w:r>
            <w:r>
              <w:rPr>
                <w:rFonts w:ascii="Arial" w:hAnsi="Arial" w:cs="Arial"/>
                <w:sz w:val="20"/>
                <w:szCs w:val="20"/>
              </w:rPr>
              <w:t xml:space="preserve">.  With the hiring of a new full-time instructor, it is planned that a certificate in technical theater will be introduced. </w:t>
            </w:r>
            <w:r w:rsidR="00FC3F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10C6" w:rsidRDefault="00BA10C6" w:rsidP="00BA10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</w:t>
            </w:r>
            <w:r w:rsidR="00660969">
              <w:rPr>
                <w:rFonts w:ascii="Arial" w:hAnsi="Arial" w:cs="Arial"/>
                <w:sz w:val="20"/>
                <w:szCs w:val="20"/>
              </w:rPr>
              <w:t>ata revea</w:t>
            </w:r>
            <w:r>
              <w:rPr>
                <w:rFonts w:ascii="Arial" w:hAnsi="Arial" w:cs="Arial"/>
                <w:sz w:val="20"/>
                <w:szCs w:val="20"/>
              </w:rPr>
              <w:t>ls a stable; successful program, which serves not only enrolled students, but the campus and community populations by producing live theatrical performances each semester.</w:t>
            </w:r>
          </w:p>
          <w:p w:rsidR="00660969" w:rsidRPr="00FC3FEE" w:rsidRDefault="00BA10C6" w:rsidP="00BA10C6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Theater Arts a</w:t>
            </w:r>
            <w:r w:rsidR="00660969">
              <w:rPr>
                <w:rFonts w:ascii="Arial" w:hAnsi="Arial" w:cs="Arial"/>
                <w:sz w:val="20"/>
                <w:szCs w:val="20"/>
              </w:rPr>
              <w:t xml:space="preserve">nticipates the absence of a </w:t>
            </w:r>
            <w:r>
              <w:rPr>
                <w:rFonts w:ascii="Arial" w:hAnsi="Arial" w:cs="Arial"/>
                <w:sz w:val="20"/>
                <w:szCs w:val="20"/>
              </w:rPr>
              <w:t>full-time</w:t>
            </w:r>
            <w:r w:rsidR="00660969">
              <w:rPr>
                <w:rFonts w:ascii="Arial" w:hAnsi="Arial" w:cs="Arial"/>
                <w:sz w:val="20"/>
                <w:szCs w:val="20"/>
              </w:rPr>
              <w:t xml:space="preserve"> faculty in 11/12 may impact </w:t>
            </w:r>
            <w:r>
              <w:rPr>
                <w:rFonts w:ascii="Arial" w:hAnsi="Arial" w:cs="Arial"/>
                <w:sz w:val="20"/>
                <w:szCs w:val="20"/>
              </w:rPr>
              <w:t>some measures of success, including productivity</w:t>
            </w:r>
            <w:r w:rsidR="00660969">
              <w:rPr>
                <w:rFonts w:ascii="Arial" w:hAnsi="Arial" w:cs="Arial"/>
                <w:sz w:val="20"/>
                <w:szCs w:val="20"/>
              </w:rPr>
              <w:t xml:space="preserve">; but is confident that once </w:t>
            </w:r>
            <w:r>
              <w:rPr>
                <w:rFonts w:ascii="Arial" w:hAnsi="Arial" w:cs="Arial"/>
                <w:sz w:val="20"/>
                <w:szCs w:val="20"/>
              </w:rPr>
              <w:t>a new full-time</w:t>
            </w:r>
            <w:r w:rsidR="00660969">
              <w:rPr>
                <w:rFonts w:ascii="Arial" w:hAnsi="Arial" w:cs="Arial"/>
                <w:sz w:val="20"/>
                <w:szCs w:val="20"/>
              </w:rPr>
              <w:t xml:space="preserve"> faculty </w:t>
            </w:r>
            <w:r>
              <w:rPr>
                <w:rFonts w:ascii="Arial" w:hAnsi="Arial" w:cs="Arial"/>
                <w:sz w:val="20"/>
                <w:szCs w:val="20"/>
              </w:rPr>
              <w:t xml:space="preserve">is in place (hiring </w:t>
            </w:r>
            <w:r w:rsidR="001B1CC8">
              <w:rPr>
                <w:rFonts w:ascii="Arial" w:hAnsi="Arial" w:cs="Arial"/>
                <w:sz w:val="20"/>
                <w:szCs w:val="20"/>
              </w:rPr>
              <w:t>spring</w:t>
            </w:r>
            <w:r>
              <w:rPr>
                <w:rFonts w:ascii="Arial" w:hAnsi="Arial" w:cs="Arial"/>
                <w:sz w:val="20"/>
                <w:szCs w:val="20"/>
              </w:rPr>
              <w:t>, 2012) the program will again thrive in support</w:t>
            </w:r>
            <w:r w:rsidR="001B1CC8">
              <w:rPr>
                <w:rFonts w:ascii="Arial" w:hAnsi="Arial" w:cs="Arial"/>
                <w:sz w:val="20"/>
                <w:szCs w:val="20"/>
              </w:rPr>
              <w:t xml:space="preserve"> of student success and of</w:t>
            </w:r>
            <w:r>
              <w:rPr>
                <w:rFonts w:ascii="Arial" w:hAnsi="Arial" w:cs="Arial"/>
                <w:sz w:val="20"/>
                <w:szCs w:val="20"/>
              </w:rPr>
              <w:t xml:space="preserve"> overall campus climate.</w:t>
            </w:r>
          </w:p>
        </w:tc>
      </w:tr>
    </w:tbl>
    <w:p w:rsidR="005A546A" w:rsidRPr="009F0FBF" w:rsidRDefault="005A546A" w:rsidP="005A546A">
      <w:pPr>
        <w:jc w:val="both"/>
        <w:rPr>
          <w:rFonts w:ascii="Arial" w:hAnsi="Arial" w:cs="Arial"/>
          <w:b/>
          <w:sz w:val="20"/>
          <w:szCs w:val="20"/>
        </w:rPr>
      </w:pPr>
      <w:r w:rsidRPr="009F0FBF">
        <w:rPr>
          <w:rFonts w:ascii="Arial" w:hAnsi="Arial" w:cs="Arial"/>
          <w:sz w:val="20"/>
          <w:szCs w:val="20"/>
        </w:rPr>
        <w:lastRenderedPageBreak/>
        <w:br/>
      </w:r>
      <w:r w:rsidRPr="009F0FBF">
        <w:rPr>
          <w:rFonts w:ascii="Arial" w:hAnsi="Arial" w:cs="Arial"/>
          <w:b/>
          <w:sz w:val="20"/>
          <w:szCs w:val="20"/>
        </w:rPr>
        <w:t>Supplemental Data</w:t>
      </w:r>
    </w:p>
    <w:p w:rsidR="005A546A" w:rsidRPr="009F0FBF" w:rsidRDefault="005A546A" w:rsidP="005A54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9F0FBF">
        <w:rPr>
          <w:rFonts w:ascii="Arial" w:hAnsi="Arial" w:cs="Arial"/>
          <w:sz w:val="20"/>
          <w:szCs w:val="20"/>
        </w:rPr>
        <w:t>rovide any additional information</w:t>
      </w:r>
      <w:r>
        <w:rPr>
          <w:rFonts w:ascii="Arial" w:hAnsi="Arial" w:cs="Arial"/>
          <w:sz w:val="20"/>
          <w:szCs w:val="20"/>
        </w:rPr>
        <w:t>, such as j</w:t>
      </w:r>
      <w:r w:rsidRPr="009F0FBF">
        <w:rPr>
          <w:rFonts w:ascii="Arial" w:hAnsi="Arial" w:cs="Arial"/>
          <w:sz w:val="20"/>
          <w:szCs w:val="20"/>
        </w:rPr>
        <w:t>ob market</w:t>
      </w:r>
      <w:r>
        <w:rPr>
          <w:rFonts w:ascii="Arial" w:hAnsi="Arial" w:cs="Arial"/>
          <w:sz w:val="20"/>
          <w:szCs w:val="20"/>
        </w:rPr>
        <w:t xml:space="preserve"> indicators,</w:t>
      </w:r>
      <w:r w:rsidRPr="009F0F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Pr="009F0FBF">
        <w:rPr>
          <w:rFonts w:ascii="Arial" w:hAnsi="Arial" w:cs="Arial"/>
          <w:sz w:val="20"/>
          <w:szCs w:val="20"/>
        </w:rPr>
        <w:t>tandards in the field</w:t>
      </w:r>
      <w:r>
        <w:rPr>
          <w:rFonts w:ascii="Arial" w:hAnsi="Arial" w:cs="Arial"/>
          <w:sz w:val="20"/>
          <w:szCs w:val="20"/>
        </w:rPr>
        <w:t xml:space="preserve"> or l</w:t>
      </w:r>
      <w:r w:rsidRPr="009F0FBF">
        <w:rPr>
          <w:rFonts w:ascii="Arial" w:hAnsi="Arial" w:cs="Arial"/>
          <w:sz w:val="20"/>
          <w:szCs w:val="20"/>
        </w:rPr>
        <w:t>icensure rates that would help the committee to better understand how your program contributes to the success of your students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5A546A" w:rsidRPr="003C3F9F" w:rsidTr="00FC3FEE">
        <w:trPr>
          <w:trHeight w:val="2321"/>
        </w:trPr>
        <w:tc>
          <w:tcPr>
            <w:tcW w:w="9576" w:type="dxa"/>
          </w:tcPr>
          <w:p w:rsidR="00436F06" w:rsidRPr="00BA10C6" w:rsidRDefault="004C0095" w:rsidP="00436F06">
            <w:pPr>
              <w:rPr>
                <w:rFonts w:ascii="Arial" w:hAnsi="Arial" w:cs="Arial"/>
                <w:sz w:val="20"/>
                <w:szCs w:val="20"/>
              </w:rPr>
            </w:pPr>
            <w:r w:rsidRPr="00BA10C6">
              <w:rPr>
                <w:rFonts w:ascii="Arial" w:hAnsi="Arial" w:cs="Arial"/>
                <w:sz w:val="20"/>
                <w:szCs w:val="20"/>
              </w:rPr>
              <w:t xml:space="preserve">Programs provide students with necessary experience </w:t>
            </w:r>
            <w:r w:rsidR="003B4C28" w:rsidRPr="00BA10C6">
              <w:rPr>
                <w:rFonts w:ascii="Arial" w:hAnsi="Arial" w:cs="Arial"/>
                <w:sz w:val="20"/>
                <w:szCs w:val="20"/>
              </w:rPr>
              <w:t>for employment</w:t>
            </w:r>
            <w:r w:rsidR="00BA10C6" w:rsidRPr="00BA10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10C6">
              <w:rPr>
                <w:rFonts w:ascii="Arial" w:hAnsi="Arial" w:cs="Arial"/>
                <w:sz w:val="20"/>
                <w:szCs w:val="20"/>
              </w:rPr>
              <w:t xml:space="preserve">in the field. Although the nature of the work </w:t>
            </w:r>
            <w:r w:rsidR="00BA10C6" w:rsidRPr="00BA10C6">
              <w:rPr>
                <w:rFonts w:ascii="Arial" w:hAnsi="Arial" w:cs="Arial"/>
                <w:sz w:val="20"/>
                <w:szCs w:val="20"/>
              </w:rPr>
              <w:t>is neither lucrative nor</w:t>
            </w:r>
            <w:r w:rsidRPr="00BA10C6">
              <w:rPr>
                <w:rFonts w:ascii="Arial" w:hAnsi="Arial" w:cs="Arial"/>
                <w:sz w:val="20"/>
                <w:szCs w:val="20"/>
              </w:rPr>
              <w:t xml:space="preserve"> consisten</w:t>
            </w:r>
            <w:r w:rsidR="003B4C28" w:rsidRPr="00BA10C6">
              <w:rPr>
                <w:rFonts w:ascii="Arial" w:hAnsi="Arial" w:cs="Arial"/>
                <w:sz w:val="20"/>
                <w:szCs w:val="20"/>
              </w:rPr>
              <w:t>t, the entertainment industry is</w:t>
            </w:r>
            <w:r w:rsidRPr="00BA10C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3B4C28" w:rsidRPr="00BA10C6">
              <w:rPr>
                <w:rFonts w:ascii="Arial" w:hAnsi="Arial" w:cs="Arial"/>
                <w:sz w:val="20"/>
                <w:szCs w:val="20"/>
              </w:rPr>
              <w:t xml:space="preserve">vital part of </w:t>
            </w:r>
            <w:r w:rsidR="00BA10C6" w:rsidRPr="00BA10C6">
              <w:rPr>
                <w:rFonts w:ascii="Arial" w:hAnsi="Arial" w:cs="Arial"/>
                <w:sz w:val="20"/>
                <w:szCs w:val="20"/>
              </w:rPr>
              <w:t>the Southern California</w:t>
            </w:r>
            <w:r w:rsidR="003B4C28" w:rsidRPr="00BA10C6">
              <w:rPr>
                <w:rFonts w:ascii="Arial" w:hAnsi="Arial" w:cs="Arial"/>
                <w:sz w:val="20"/>
                <w:szCs w:val="20"/>
              </w:rPr>
              <w:t xml:space="preserve"> economy</w:t>
            </w:r>
            <w:r w:rsidR="00BA10C6" w:rsidRPr="00BA10C6">
              <w:rPr>
                <w:rFonts w:ascii="Arial" w:hAnsi="Arial" w:cs="Arial"/>
                <w:sz w:val="20"/>
                <w:szCs w:val="20"/>
              </w:rPr>
              <w:t>.  Full-time and adjunct faculty in theater arts have come from the industry, providing valuable information, resources, and connections to our students; many of whom have gone on to professional/semi-professional acting, stage managing and technical opportunities.</w:t>
            </w:r>
          </w:p>
          <w:p w:rsidR="00436F06" w:rsidRPr="00BA10C6" w:rsidRDefault="00436F06" w:rsidP="00436F0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A10C6">
              <w:rPr>
                <w:rFonts w:ascii="Arial" w:hAnsi="Arial" w:cs="Arial"/>
                <w:sz w:val="20"/>
                <w:szCs w:val="20"/>
              </w:rPr>
              <w:t>LA Times (7/21/10) notes that motion picture and television production will be a strong part of California’s economic recovery</w:t>
            </w:r>
          </w:p>
          <w:p w:rsidR="00436F06" w:rsidRPr="00BA10C6" w:rsidRDefault="00436F06" w:rsidP="00436F06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BA10C6">
              <w:rPr>
                <w:rFonts w:ascii="Arial" w:hAnsi="Arial" w:cs="Arial"/>
                <w:sz w:val="20"/>
                <w:szCs w:val="20"/>
              </w:rPr>
              <w:t>The 2012/13 E</w:t>
            </w:r>
            <w:r w:rsidR="004C0095" w:rsidRPr="00BA10C6">
              <w:rPr>
                <w:rFonts w:ascii="Arial" w:hAnsi="Arial" w:cs="Arial"/>
                <w:sz w:val="20"/>
                <w:szCs w:val="20"/>
              </w:rPr>
              <w:t>c</w:t>
            </w:r>
            <w:r w:rsidRPr="00BA10C6">
              <w:rPr>
                <w:rFonts w:ascii="Arial" w:hAnsi="Arial" w:cs="Arial"/>
                <w:sz w:val="20"/>
                <w:szCs w:val="20"/>
              </w:rPr>
              <w:t>onomic Forecast and Industry Outlook for Los Angeles Country states “</w:t>
            </w:r>
            <w:r w:rsidRPr="00BA10C6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Entertainment industry </w:t>
            </w:r>
            <w:r w:rsidRPr="00BA10C6">
              <w:rPr>
                <w:rFonts w:ascii="Arial" w:eastAsiaTheme="minorHAnsi" w:hAnsi="Arial" w:cs="Arial"/>
                <w:sz w:val="20"/>
                <w:szCs w:val="20"/>
              </w:rPr>
              <w:t>activity has increased as well, with overall film</w:t>
            </w:r>
            <w:r w:rsidR="00BA10C6" w:rsidRPr="00BA10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BA10C6">
              <w:rPr>
                <w:rFonts w:ascii="Arial" w:eastAsiaTheme="minorHAnsi" w:hAnsi="Arial" w:cs="Arial"/>
                <w:sz w:val="20"/>
                <w:szCs w:val="20"/>
              </w:rPr>
              <w:t>production rising modestly last year after a large rebound in 2010.</w:t>
            </w:r>
            <w:r w:rsidR="00BA10C6" w:rsidRPr="00BA10C6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BA10C6">
              <w:rPr>
                <w:rFonts w:ascii="Arial" w:eastAsiaTheme="minorHAnsi" w:hAnsi="Arial" w:cs="Arial"/>
                <w:sz w:val="20"/>
                <w:szCs w:val="20"/>
              </w:rPr>
              <w:t>More motion pictures and commercials were filmed locally in 2011,”</w:t>
            </w:r>
          </w:p>
          <w:p w:rsidR="00436F06" w:rsidRPr="00BA10C6" w:rsidRDefault="006B45CA" w:rsidP="00436F06">
            <w:pPr>
              <w:autoSpaceDE w:val="0"/>
              <w:autoSpaceDN w:val="0"/>
              <w:adjustRightInd w:val="0"/>
              <w:ind w:left="720"/>
              <w:rPr>
                <w:rFonts w:ascii="Arial" w:eastAsiaTheme="minorHAnsi" w:hAnsi="Arial" w:cs="Arial"/>
                <w:sz w:val="20"/>
                <w:szCs w:val="20"/>
              </w:rPr>
            </w:pPr>
            <w:hyperlink r:id="rId8" w:history="1">
              <w:r w:rsidR="004C0095" w:rsidRPr="00BA10C6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http://laedc.org/reports/forecastreport_online.pdf</w:t>
              </w:r>
            </w:hyperlink>
          </w:p>
          <w:p w:rsidR="004C0095" w:rsidRPr="00BA10C6" w:rsidRDefault="004C0095" w:rsidP="004C009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0"/>
                <w:szCs w:val="20"/>
              </w:rPr>
            </w:pPr>
            <w:r w:rsidRPr="00BA10C6">
              <w:rPr>
                <w:rFonts w:ascii="Arial" w:hAnsi="Arial" w:cs="Arial"/>
                <w:sz w:val="20"/>
                <w:szCs w:val="20"/>
              </w:rPr>
              <w:t>Southern California is a mecca for actors/dancers.</w:t>
            </w:r>
          </w:p>
          <w:p w:rsidR="005A546A" w:rsidRPr="00660969" w:rsidRDefault="00660969" w:rsidP="00BA10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BA10C6">
              <w:rPr>
                <w:rFonts w:ascii="Arial" w:hAnsi="Arial" w:cs="Arial"/>
                <w:sz w:val="20"/>
                <w:szCs w:val="20"/>
              </w:rPr>
              <w:t xml:space="preserve">Southern California Theatre Directory (A resource for performers) list </w:t>
            </w:r>
            <w:r w:rsidR="00436F06" w:rsidRPr="00BA10C6">
              <w:rPr>
                <w:rFonts w:ascii="Arial" w:hAnsi="Arial" w:cs="Arial"/>
                <w:sz w:val="20"/>
                <w:szCs w:val="20"/>
              </w:rPr>
              <w:t>more than 1</w:t>
            </w:r>
            <w:r w:rsidR="00BA10C6" w:rsidRPr="00BA10C6">
              <w:rPr>
                <w:rFonts w:ascii="Arial" w:hAnsi="Arial" w:cs="Arial"/>
                <w:sz w:val="20"/>
                <w:szCs w:val="20"/>
              </w:rPr>
              <w:t>5</w:t>
            </w:r>
            <w:r w:rsidR="00436F06" w:rsidRPr="00BA10C6">
              <w:rPr>
                <w:rFonts w:ascii="Arial" w:hAnsi="Arial" w:cs="Arial"/>
                <w:sz w:val="20"/>
                <w:szCs w:val="20"/>
              </w:rPr>
              <w:t xml:space="preserve">0 theaters and production companies in </w:t>
            </w:r>
            <w:r w:rsidR="00BA10C6" w:rsidRPr="00BA10C6">
              <w:rPr>
                <w:rFonts w:ascii="Arial" w:hAnsi="Arial" w:cs="Arial"/>
                <w:sz w:val="20"/>
                <w:szCs w:val="20"/>
              </w:rPr>
              <w:t>Southern California</w:t>
            </w:r>
            <w:r w:rsidR="00436F06" w:rsidRPr="00BA10C6">
              <w:rPr>
                <w:rFonts w:ascii="Arial" w:hAnsi="Arial" w:cs="Arial"/>
                <w:sz w:val="20"/>
                <w:szCs w:val="20"/>
              </w:rPr>
              <w:t xml:space="preserve"> http://www.backstage.com/bso/esearch/article_display.jsp?vnu_content_id=1003923903</w:t>
            </w:r>
          </w:p>
        </w:tc>
      </w:tr>
    </w:tbl>
    <w:p w:rsidR="005A546A" w:rsidRDefault="005A546A" w:rsidP="005A546A">
      <w:pPr>
        <w:jc w:val="both"/>
        <w:rPr>
          <w:rFonts w:ascii="Arial" w:hAnsi="Arial" w:cs="Arial"/>
          <w:sz w:val="20"/>
          <w:szCs w:val="20"/>
        </w:rPr>
      </w:pPr>
    </w:p>
    <w:p w:rsidR="008900BB" w:rsidRDefault="008900BB" w:rsidP="008900BB">
      <w:pPr>
        <w:jc w:val="center"/>
        <w:rPr>
          <w:rFonts w:ascii="Arial" w:hAnsi="Arial" w:cs="Arial"/>
          <w:b/>
          <w:sz w:val="20"/>
          <w:szCs w:val="20"/>
        </w:rPr>
      </w:pPr>
      <w:r w:rsidRPr="009F0FBF">
        <w:rPr>
          <w:rFonts w:ascii="Arial" w:hAnsi="Arial" w:cs="Arial"/>
          <w:b/>
          <w:sz w:val="20"/>
          <w:szCs w:val="20"/>
        </w:rPr>
        <w:lastRenderedPageBreak/>
        <w:t>Part I</w:t>
      </w:r>
      <w:r>
        <w:rPr>
          <w:rFonts w:ascii="Arial" w:hAnsi="Arial" w:cs="Arial"/>
          <w:b/>
          <w:sz w:val="20"/>
          <w:szCs w:val="20"/>
        </w:rPr>
        <w:t>II</w:t>
      </w:r>
      <w:r w:rsidRPr="009F0FBF">
        <w:rPr>
          <w:rFonts w:ascii="Arial" w:hAnsi="Arial" w:cs="Arial"/>
          <w:b/>
          <w:sz w:val="20"/>
          <w:szCs w:val="20"/>
        </w:rPr>
        <w:t>.  Questions Related to Strategic Initiative:  Institutional Effectiveness</w:t>
      </w:r>
    </w:p>
    <w:p w:rsidR="008900BB" w:rsidRDefault="008900BB" w:rsidP="005A546A">
      <w:pPr>
        <w:jc w:val="both"/>
        <w:rPr>
          <w:rFonts w:ascii="Arial" w:hAnsi="Arial" w:cs="Arial"/>
          <w:sz w:val="20"/>
          <w:szCs w:val="20"/>
        </w:rPr>
      </w:pPr>
    </w:p>
    <w:p w:rsidR="008900BB" w:rsidRDefault="008900BB" w:rsidP="008900BB">
      <w:pPr>
        <w:jc w:val="center"/>
        <w:rPr>
          <w:rFonts w:ascii="Arial" w:hAnsi="Arial" w:cs="Arial"/>
          <w:b/>
          <w:sz w:val="20"/>
          <w:szCs w:val="20"/>
        </w:rPr>
      </w:pPr>
      <w:r w:rsidRPr="009F0FBF">
        <w:rPr>
          <w:rFonts w:ascii="Arial" w:hAnsi="Arial" w:cs="Arial"/>
          <w:b/>
          <w:sz w:val="20"/>
          <w:szCs w:val="20"/>
        </w:rPr>
        <w:t>Relevance and Currency, Articulation of Curriculum</w:t>
      </w:r>
    </w:p>
    <w:p w:rsidR="008900BB" w:rsidRDefault="008900BB" w:rsidP="008900BB">
      <w:pPr>
        <w:jc w:val="center"/>
        <w:rPr>
          <w:rFonts w:ascii="Arial" w:hAnsi="Arial" w:cs="Arial"/>
          <w:b/>
          <w:sz w:val="20"/>
          <w:szCs w:val="20"/>
        </w:rPr>
      </w:pPr>
    </w:p>
    <w:p w:rsidR="008900BB" w:rsidRDefault="008900BB" w:rsidP="008900BB">
      <w:pPr>
        <w:rPr>
          <w:rFonts w:ascii="Arial" w:hAnsi="Arial" w:cs="Arial"/>
          <w:sz w:val="20"/>
          <w:szCs w:val="20"/>
        </w:rPr>
      </w:pPr>
      <w:r w:rsidRPr="008900BB">
        <w:rPr>
          <w:rFonts w:ascii="Arial" w:hAnsi="Arial" w:cs="Arial"/>
          <w:sz w:val="20"/>
          <w:szCs w:val="20"/>
        </w:rPr>
        <w:t xml:space="preserve">The </w:t>
      </w:r>
      <w:proofErr w:type="gramStart"/>
      <w:r w:rsidRPr="008900BB">
        <w:rPr>
          <w:rFonts w:ascii="Arial" w:hAnsi="Arial" w:cs="Arial"/>
          <w:sz w:val="20"/>
          <w:szCs w:val="20"/>
        </w:rPr>
        <w:t>Spring</w:t>
      </w:r>
      <w:proofErr w:type="gramEnd"/>
      <w:r w:rsidRPr="008900BB">
        <w:rPr>
          <w:rFonts w:ascii="Arial" w:hAnsi="Arial" w:cs="Arial"/>
          <w:sz w:val="20"/>
          <w:szCs w:val="20"/>
        </w:rPr>
        <w:t xml:space="preserve"> 2011 Program Efficacy Report submitted by Theater Arts/Dance outlined a plan for updating curriculum and course articulation. Please describe the progress that has been made towards these goals.</w:t>
      </w:r>
    </w:p>
    <w:p w:rsidR="003B4C28" w:rsidRDefault="00BA10C6" w:rsidP="008900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Dance and Theater Programs have worked diligently, with assistance from the Articulation Officer, to bring curriculum into compliance.</w:t>
      </w:r>
      <w:r w:rsidR="00C032FB">
        <w:rPr>
          <w:rFonts w:ascii="Arial" w:hAnsi="Arial" w:cs="Arial"/>
          <w:sz w:val="20"/>
          <w:szCs w:val="20"/>
        </w:rPr>
        <w:t xml:space="preserve">  Dance has completed this process, while Theater continues its work.</w:t>
      </w:r>
      <w:r>
        <w:rPr>
          <w:rFonts w:ascii="Arial" w:hAnsi="Arial" w:cs="Arial"/>
          <w:sz w:val="20"/>
          <w:szCs w:val="20"/>
        </w:rPr>
        <w:t xml:space="preserve">  The following courses are current</w:t>
      </w:r>
    </w:p>
    <w:p w:rsidR="00BA10C6" w:rsidRDefault="00BA10C6" w:rsidP="008900B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</w:tblGrid>
      <w:tr w:rsidR="00BA10C6" w:rsidTr="00BA10C6"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through date</w:t>
            </w:r>
          </w:p>
        </w:tc>
      </w:tr>
      <w:tr w:rsidR="00BA10C6" w:rsidTr="00BA10C6"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101X2</w:t>
            </w:r>
          </w:p>
        </w:tc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A10C6" w:rsidTr="00BA10C6"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102X2</w:t>
            </w:r>
          </w:p>
        </w:tc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A10C6" w:rsidTr="00BA10C6"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103X2</w:t>
            </w:r>
          </w:p>
        </w:tc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A10C6" w:rsidTr="00BA10C6"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105X2</w:t>
            </w:r>
          </w:p>
        </w:tc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A10C6" w:rsidTr="00BA10C6"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106X2</w:t>
            </w:r>
          </w:p>
        </w:tc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A10C6" w:rsidTr="00BA10C6"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107X2</w:t>
            </w:r>
          </w:p>
        </w:tc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A10C6" w:rsidTr="00BA10C6"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114X4</w:t>
            </w:r>
          </w:p>
        </w:tc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BA10C6" w:rsidTr="00BA10C6"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200</w:t>
            </w:r>
          </w:p>
        </w:tc>
        <w:tc>
          <w:tcPr>
            <w:tcW w:w="3192" w:type="dxa"/>
          </w:tcPr>
          <w:p w:rsidR="00BA10C6" w:rsidRDefault="00BA10C6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  <w:tr w:rsidR="007B7FED" w:rsidTr="00BA10C6">
        <w:tc>
          <w:tcPr>
            <w:tcW w:w="3192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206</w:t>
            </w:r>
          </w:p>
        </w:tc>
        <w:tc>
          <w:tcPr>
            <w:tcW w:w="3192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(approved April 16 by curriculum committee)</w:t>
            </w:r>
          </w:p>
        </w:tc>
      </w:tr>
      <w:tr w:rsidR="007B7FED" w:rsidTr="00BA10C6">
        <w:tc>
          <w:tcPr>
            <w:tcW w:w="3192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THART 131</w:t>
            </w:r>
          </w:p>
        </w:tc>
        <w:tc>
          <w:tcPr>
            <w:tcW w:w="3192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7B7FED" w:rsidTr="00BA10C6">
        <w:tc>
          <w:tcPr>
            <w:tcW w:w="3192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THART 132</w:t>
            </w:r>
          </w:p>
        </w:tc>
        <w:tc>
          <w:tcPr>
            <w:tcW w:w="3192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7B7FED" w:rsidTr="00BA10C6">
        <w:tc>
          <w:tcPr>
            <w:tcW w:w="3192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THART 136</w:t>
            </w:r>
          </w:p>
        </w:tc>
        <w:tc>
          <w:tcPr>
            <w:tcW w:w="3192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7B7FED" w:rsidTr="00BA10C6">
        <w:tc>
          <w:tcPr>
            <w:tcW w:w="3192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THART 139</w:t>
            </w:r>
          </w:p>
        </w:tc>
        <w:tc>
          <w:tcPr>
            <w:tcW w:w="3192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7B7FED" w:rsidTr="00BA10C6">
        <w:tc>
          <w:tcPr>
            <w:tcW w:w="3192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THART 147</w:t>
            </w:r>
          </w:p>
        </w:tc>
        <w:tc>
          <w:tcPr>
            <w:tcW w:w="3192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7B7FED" w:rsidTr="00BA10C6">
        <w:tc>
          <w:tcPr>
            <w:tcW w:w="3192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THART 166</w:t>
            </w:r>
          </w:p>
        </w:tc>
        <w:tc>
          <w:tcPr>
            <w:tcW w:w="3192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</w:tr>
      <w:tr w:rsidR="007B7FED" w:rsidTr="00BA10C6">
        <w:tc>
          <w:tcPr>
            <w:tcW w:w="3192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THART 222</w:t>
            </w:r>
          </w:p>
        </w:tc>
        <w:tc>
          <w:tcPr>
            <w:tcW w:w="3192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</w:tr>
    </w:tbl>
    <w:p w:rsidR="00BA10C6" w:rsidRDefault="00BA10C6" w:rsidP="008900BB">
      <w:pPr>
        <w:rPr>
          <w:rFonts w:ascii="Arial" w:hAnsi="Arial" w:cs="Arial"/>
          <w:sz w:val="20"/>
          <w:szCs w:val="20"/>
        </w:rPr>
      </w:pPr>
    </w:p>
    <w:p w:rsidR="007B7FED" w:rsidRDefault="007B7FED" w:rsidP="008900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Additionally, the following action has been taken by the curriculum committee</w:t>
      </w:r>
      <w:r w:rsidR="00C032F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/>
      </w:tblPr>
      <w:tblGrid>
        <w:gridCol w:w="3168"/>
        <w:gridCol w:w="6408"/>
      </w:tblGrid>
      <w:tr w:rsidR="007B7FED" w:rsidTr="007B7FED">
        <w:tc>
          <w:tcPr>
            <w:tcW w:w="3168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6408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Action</w:t>
            </w:r>
          </w:p>
        </w:tc>
      </w:tr>
      <w:tr w:rsidR="007B7FED" w:rsidTr="007B7FED">
        <w:tc>
          <w:tcPr>
            <w:tcW w:w="3168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 203</w:t>
            </w:r>
          </w:p>
        </w:tc>
        <w:tc>
          <w:tcPr>
            <w:tcW w:w="6408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7B7FED" w:rsidTr="007B7FED">
        <w:tc>
          <w:tcPr>
            <w:tcW w:w="3168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THART 114X4</w:t>
            </w:r>
          </w:p>
        </w:tc>
        <w:tc>
          <w:tcPr>
            <w:tcW w:w="6408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at curriculum technical review (4/23/12)</w:t>
            </w:r>
          </w:p>
        </w:tc>
      </w:tr>
      <w:tr w:rsidR="007B7FED" w:rsidTr="007B7FED">
        <w:tc>
          <w:tcPr>
            <w:tcW w:w="3168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THART 135</w:t>
            </w:r>
          </w:p>
        </w:tc>
        <w:tc>
          <w:tcPr>
            <w:tcW w:w="6408" w:type="dxa"/>
          </w:tcPr>
          <w:p w:rsidR="007B7FED" w:rsidRDefault="007B7FED" w:rsidP="008900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Approved at curriculum technical review (4/23/12)</w:t>
            </w:r>
          </w:p>
        </w:tc>
      </w:tr>
    </w:tbl>
    <w:p w:rsidR="007B7FED" w:rsidRDefault="007B7FED" w:rsidP="008900BB">
      <w:pPr>
        <w:rPr>
          <w:rFonts w:ascii="Arial" w:hAnsi="Arial" w:cs="Arial"/>
          <w:sz w:val="20"/>
          <w:szCs w:val="20"/>
        </w:rPr>
      </w:pPr>
    </w:p>
    <w:p w:rsidR="007B7FED" w:rsidRPr="00C032FB" w:rsidRDefault="007B7FED" w:rsidP="008900BB">
      <w:pPr>
        <w:rPr>
          <w:rFonts w:ascii="Arial" w:hAnsi="Arial" w:cs="Arial"/>
          <w:sz w:val="20"/>
          <w:szCs w:val="20"/>
        </w:rPr>
      </w:pPr>
      <w:r w:rsidRPr="00C032FB">
        <w:rPr>
          <w:rFonts w:ascii="Arial" w:hAnsi="Arial" w:cs="Arial"/>
          <w:sz w:val="20"/>
          <w:szCs w:val="20"/>
        </w:rPr>
        <w:t>The following classes have been started in the curriculum process</w:t>
      </w:r>
      <w:r w:rsidR="00C032FB">
        <w:rPr>
          <w:rFonts w:ascii="Arial" w:hAnsi="Arial" w:cs="Arial"/>
          <w:sz w:val="20"/>
          <w:szCs w:val="20"/>
        </w:rPr>
        <w:t>, with assistance from the Articulation Officer,</w:t>
      </w:r>
      <w:r w:rsidR="00C032FB" w:rsidRPr="00C032FB">
        <w:rPr>
          <w:rFonts w:ascii="Arial" w:hAnsi="Arial" w:cs="Arial"/>
          <w:sz w:val="20"/>
          <w:szCs w:val="20"/>
        </w:rPr>
        <w:t xml:space="preserve"> with an anticipated full-committee approval by fall, 2012</w:t>
      </w:r>
      <w:r w:rsidRPr="00C032FB">
        <w:rPr>
          <w:rFonts w:ascii="Arial" w:hAnsi="Arial" w:cs="Arial"/>
          <w:sz w:val="20"/>
          <w:szCs w:val="20"/>
        </w:rPr>
        <w:t>:</w:t>
      </w:r>
    </w:p>
    <w:tbl>
      <w:tblPr>
        <w:tblW w:w="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5"/>
        <w:gridCol w:w="2880"/>
      </w:tblGrid>
      <w:tr w:rsidR="001B1CC8" w:rsidRPr="00C032FB" w:rsidTr="001B1CC8">
        <w:tc>
          <w:tcPr>
            <w:tcW w:w="1365" w:type="dxa"/>
            <w:vAlign w:val="center"/>
            <w:hideMark/>
          </w:tcPr>
          <w:p w:rsidR="001B1CC8" w:rsidRPr="00C032FB" w:rsidRDefault="001B1CC8" w:rsidP="007B7FED">
            <w:pPr>
              <w:rPr>
                <w:rFonts w:ascii="Arial" w:hAnsi="Arial" w:cs="Arial"/>
                <w:sz w:val="20"/>
                <w:szCs w:val="20"/>
              </w:rPr>
            </w:pPr>
            <w:r w:rsidRPr="00C032FB">
              <w:rPr>
                <w:rFonts w:ascii="Arial" w:hAnsi="Arial" w:cs="Arial"/>
                <w:sz w:val="20"/>
                <w:szCs w:val="20"/>
              </w:rPr>
              <w:t xml:space="preserve">THART100 </w:t>
            </w:r>
          </w:p>
        </w:tc>
        <w:tc>
          <w:tcPr>
            <w:tcW w:w="2880" w:type="dxa"/>
          </w:tcPr>
          <w:p w:rsidR="001B1CC8" w:rsidRPr="00C032FB" w:rsidRDefault="001B1CC8" w:rsidP="001B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submission to curriculum - Spring, 2012</w:t>
            </w:r>
          </w:p>
        </w:tc>
      </w:tr>
      <w:tr w:rsidR="001B1CC8" w:rsidRPr="00C032FB" w:rsidTr="001B1CC8">
        <w:tc>
          <w:tcPr>
            <w:tcW w:w="1365" w:type="dxa"/>
            <w:vAlign w:val="center"/>
            <w:hideMark/>
          </w:tcPr>
          <w:p w:rsidR="001B1CC8" w:rsidRPr="00C032FB" w:rsidRDefault="001B1CC8" w:rsidP="007B7FED">
            <w:pPr>
              <w:rPr>
                <w:rFonts w:ascii="Arial" w:hAnsi="Arial" w:cs="Arial"/>
                <w:sz w:val="20"/>
                <w:szCs w:val="20"/>
              </w:rPr>
            </w:pPr>
            <w:r w:rsidRPr="00C032FB">
              <w:rPr>
                <w:rFonts w:ascii="Arial" w:hAnsi="Arial" w:cs="Arial"/>
                <w:sz w:val="20"/>
                <w:szCs w:val="20"/>
              </w:rPr>
              <w:t xml:space="preserve">THART110 </w:t>
            </w:r>
          </w:p>
        </w:tc>
        <w:tc>
          <w:tcPr>
            <w:tcW w:w="2880" w:type="dxa"/>
          </w:tcPr>
          <w:p w:rsidR="001B1CC8" w:rsidRPr="00C032FB" w:rsidRDefault="001B1CC8" w:rsidP="001B1C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submission to curriculum Fall, 2012</w:t>
            </w:r>
          </w:p>
        </w:tc>
      </w:tr>
      <w:tr w:rsidR="001B1CC8" w:rsidRPr="00C032FB" w:rsidTr="001B1CC8">
        <w:tc>
          <w:tcPr>
            <w:tcW w:w="1365" w:type="dxa"/>
            <w:vAlign w:val="center"/>
            <w:hideMark/>
          </w:tcPr>
          <w:p w:rsidR="001B1CC8" w:rsidRPr="00C032FB" w:rsidRDefault="001B1CC8" w:rsidP="007B7FED">
            <w:pPr>
              <w:rPr>
                <w:rFonts w:ascii="Arial" w:hAnsi="Arial" w:cs="Arial"/>
                <w:sz w:val="20"/>
                <w:szCs w:val="20"/>
              </w:rPr>
            </w:pPr>
            <w:r w:rsidRPr="00C032FB">
              <w:rPr>
                <w:rFonts w:ascii="Arial" w:hAnsi="Arial" w:cs="Arial"/>
                <w:sz w:val="20"/>
                <w:szCs w:val="20"/>
              </w:rPr>
              <w:t xml:space="preserve">THART120 </w:t>
            </w:r>
          </w:p>
        </w:tc>
        <w:tc>
          <w:tcPr>
            <w:tcW w:w="2880" w:type="dxa"/>
          </w:tcPr>
          <w:p w:rsidR="001B1CC8" w:rsidRPr="00C032FB" w:rsidRDefault="001B1CC8" w:rsidP="007B7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submission to curriculum - Spring, 2012</w:t>
            </w:r>
          </w:p>
        </w:tc>
      </w:tr>
      <w:tr w:rsidR="001B1CC8" w:rsidRPr="00C032FB" w:rsidTr="001B1CC8">
        <w:tc>
          <w:tcPr>
            <w:tcW w:w="1365" w:type="dxa"/>
            <w:vAlign w:val="center"/>
            <w:hideMark/>
          </w:tcPr>
          <w:p w:rsidR="001B1CC8" w:rsidRPr="00C032FB" w:rsidRDefault="001B1CC8" w:rsidP="007B7FED">
            <w:pPr>
              <w:rPr>
                <w:rFonts w:ascii="Arial" w:hAnsi="Arial" w:cs="Arial"/>
                <w:sz w:val="20"/>
                <w:szCs w:val="20"/>
              </w:rPr>
            </w:pPr>
            <w:r w:rsidRPr="00C032FB">
              <w:rPr>
                <w:rFonts w:ascii="Arial" w:hAnsi="Arial" w:cs="Arial"/>
                <w:sz w:val="20"/>
                <w:szCs w:val="20"/>
              </w:rPr>
              <w:t xml:space="preserve">THART121 </w:t>
            </w:r>
          </w:p>
        </w:tc>
        <w:tc>
          <w:tcPr>
            <w:tcW w:w="2880" w:type="dxa"/>
          </w:tcPr>
          <w:p w:rsidR="001B1CC8" w:rsidRPr="00C032FB" w:rsidRDefault="001B1CC8" w:rsidP="007B7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submission to curriculum - Spring, 2012</w:t>
            </w:r>
          </w:p>
        </w:tc>
      </w:tr>
      <w:tr w:rsidR="001B1CC8" w:rsidRPr="00C032FB" w:rsidTr="001B1CC8">
        <w:tc>
          <w:tcPr>
            <w:tcW w:w="1365" w:type="dxa"/>
            <w:vAlign w:val="center"/>
            <w:hideMark/>
          </w:tcPr>
          <w:p w:rsidR="001B1CC8" w:rsidRPr="00C032FB" w:rsidRDefault="001B1CC8" w:rsidP="007B7FED">
            <w:pPr>
              <w:rPr>
                <w:rFonts w:ascii="Arial" w:hAnsi="Arial" w:cs="Arial"/>
                <w:sz w:val="20"/>
                <w:szCs w:val="20"/>
              </w:rPr>
            </w:pPr>
            <w:r w:rsidRPr="00C032FB">
              <w:rPr>
                <w:rFonts w:ascii="Arial" w:hAnsi="Arial" w:cs="Arial"/>
                <w:sz w:val="20"/>
                <w:szCs w:val="20"/>
              </w:rPr>
              <w:t xml:space="preserve">THART160X4 </w:t>
            </w:r>
          </w:p>
        </w:tc>
        <w:tc>
          <w:tcPr>
            <w:tcW w:w="2880" w:type="dxa"/>
          </w:tcPr>
          <w:p w:rsidR="001B1CC8" w:rsidRPr="00C032FB" w:rsidRDefault="001B1CC8" w:rsidP="007B7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submission to curriculum - Spring, 2012</w:t>
            </w:r>
          </w:p>
        </w:tc>
      </w:tr>
      <w:tr w:rsidR="001B1CC8" w:rsidRPr="00C032FB" w:rsidTr="001B1CC8">
        <w:tc>
          <w:tcPr>
            <w:tcW w:w="1365" w:type="dxa"/>
            <w:vAlign w:val="center"/>
            <w:hideMark/>
          </w:tcPr>
          <w:p w:rsidR="001B1CC8" w:rsidRPr="00C032FB" w:rsidRDefault="001B1CC8" w:rsidP="007B7FED">
            <w:pPr>
              <w:rPr>
                <w:rFonts w:ascii="Arial" w:hAnsi="Arial" w:cs="Arial"/>
                <w:sz w:val="20"/>
                <w:szCs w:val="20"/>
              </w:rPr>
            </w:pPr>
            <w:r w:rsidRPr="00C032FB">
              <w:rPr>
                <w:rFonts w:ascii="Arial" w:hAnsi="Arial" w:cs="Arial"/>
                <w:sz w:val="20"/>
                <w:szCs w:val="20"/>
              </w:rPr>
              <w:t xml:space="preserve">THART165 </w:t>
            </w:r>
          </w:p>
        </w:tc>
        <w:tc>
          <w:tcPr>
            <w:tcW w:w="2880" w:type="dxa"/>
          </w:tcPr>
          <w:p w:rsidR="001B1CC8" w:rsidRPr="00C032FB" w:rsidRDefault="001B1CC8" w:rsidP="007B7F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Planned submission to curriculum Fall, 2012</w:t>
            </w:r>
          </w:p>
        </w:tc>
      </w:tr>
    </w:tbl>
    <w:p w:rsidR="007B7FED" w:rsidRDefault="007B7FED" w:rsidP="008900BB">
      <w:pPr>
        <w:rPr>
          <w:rFonts w:ascii="Arial" w:hAnsi="Arial" w:cs="Arial"/>
          <w:sz w:val="20"/>
          <w:szCs w:val="20"/>
        </w:rPr>
      </w:pPr>
    </w:p>
    <w:p w:rsidR="007B7FED" w:rsidRDefault="007B7FED" w:rsidP="008900BB">
      <w:pPr>
        <w:rPr>
          <w:rFonts w:ascii="Arial" w:hAnsi="Arial" w:cs="Arial"/>
          <w:sz w:val="20"/>
          <w:szCs w:val="20"/>
        </w:rPr>
      </w:pPr>
    </w:p>
    <w:p w:rsidR="008900BB" w:rsidRDefault="008900BB" w:rsidP="005A546A">
      <w:pPr>
        <w:jc w:val="both"/>
        <w:rPr>
          <w:rFonts w:ascii="Arial" w:hAnsi="Arial" w:cs="Arial"/>
          <w:sz w:val="20"/>
          <w:szCs w:val="20"/>
        </w:rPr>
      </w:pPr>
    </w:p>
    <w:p w:rsidR="008900BB" w:rsidRDefault="008900BB" w:rsidP="005A546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78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0"/>
        <w:gridCol w:w="3207"/>
        <w:gridCol w:w="977"/>
        <w:gridCol w:w="1648"/>
        <w:gridCol w:w="1488"/>
      </w:tblGrid>
      <w:tr w:rsidR="00C16871" w:rsidRPr="00C16871" w:rsidTr="00C16871"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C16871" w:rsidRPr="00C16871" w:rsidRDefault="00C16871" w:rsidP="00C16871">
            <w:r w:rsidRPr="00C16871">
              <w:rPr>
                <w:b/>
                <w:bCs/>
              </w:rPr>
              <w:lastRenderedPageBreak/>
              <w:t>Arts &amp; Humanities</w:t>
            </w:r>
          </w:p>
        </w:tc>
      </w:tr>
      <w:tr w:rsidR="00C16871" w:rsidRPr="00C16871" w:rsidTr="00C16871"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       </w:t>
            </w:r>
            <w:r w:rsidRPr="00C16871">
              <w:rPr>
                <w:b/>
                <w:bCs/>
              </w:rPr>
              <w:t>Dance</w:t>
            </w:r>
          </w:p>
        </w:tc>
      </w:tr>
      <w:tr w:rsidR="00C16871" w:rsidRPr="00C16871" w:rsidTr="00C16871"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rPr>
                <w:b/>
                <w:bCs/>
              </w:rPr>
              <w:t>Course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rPr>
                <w:b/>
                <w:bCs/>
              </w:rPr>
              <w:t>Status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rPr>
                <w:b/>
                <w:bCs/>
              </w:rPr>
              <w:t>Last Content Review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rPr>
                <w:b/>
                <w:bCs/>
              </w:rPr>
              <w:t>Next Review Date</w:t>
            </w:r>
          </w:p>
        </w:tc>
      </w:tr>
      <w:tr w:rsidR="00C16871" w:rsidRPr="00C16871" w:rsidTr="00C032F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DANCE101X2 Beginning Modern Dance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16871" w:rsidRPr="00C032FB" w:rsidRDefault="00C16871" w:rsidP="00C16871">
            <w:r w:rsidRPr="00C032FB">
              <w:t>11/28/2011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16871" w:rsidRPr="00C032FB" w:rsidRDefault="00C16871" w:rsidP="00C16871">
            <w:r w:rsidRPr="00C032FB">
              <w:t>11/28/2017</w:t>
            </w:r>
          </w:p>
        </w:tc>
      </w:tr>
      <w:tr w:rsidR="00C16871" w:rsidRPr="00C16871" w:rsidTr="00C032F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DANCE102X4 Intermediate Modern Dance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16871" w:rsidRPr="00C032FB" w:rsidRDefault="00C16871" w:rsidP="00C16871">
            <w:r w:rsidRPr="00C032FB">
              <w:t>11/28/2011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16871" w:rsidRPr="00C032FB" w:rsidRDefault="00C16871" w:rsidP="00C16871">
            <w:r w:rsidRPr="00C032FB">
              <w:t>11/28/2017</w:t>
            </w:r>
          </w:p>
        </w:tc>
      </w:tr>
      <w:tr w:rsidR="00C16871" w:rsidRPr="00C16871" w:rsidTr="00C032FB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DANCE103X2 Beginning Ballet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16871" w:rsidRPr="00C032FB" w:rsidRDefault="00C16871" w:rsidP="00C16871">
            <w:r w:rsidRPr="00C032FB">
              <w:t>11/28/2011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C16871" w:rsidRPr="00C032FB" w:rsidRDefault="00C16871" w:rsidP="00C16871">
            <w:r w:rsidRPr="00C032FB">
              <w:t>11/28/2017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DANCE105X2 Beginning Jazz Dance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11/28/2011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11/28/2017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DANCE106X4 Intermediate Jazz Dance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11/28/2011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11/28/2017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DANCE107x2 Beginning Tap Dance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11/28/2011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11/28/2017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DANCE114X4 Dance Rehearsal and Performance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11/28/2011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11/28/2017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DANCE200 Dance History and Appreciation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11/28/2011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11/28/2017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DANCE203 Choreography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DANCE206X4 Dance Production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11/15/2002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11/15/2008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DANCE203 Choreography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Launched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04/02/2012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04/02/2018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DANCE206X4 Dance Production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Launched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04/16/2012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04/16/2018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DANCE101X2 Beginning Modern Dance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Historical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DANCE102X4 Intermediate Modern Dance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Historical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DANCE103X2 Ballet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Historical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DANCE105X2 Beginning Jazz Dance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Historical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DANCE106X4 Intermediate Jazz Dance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Historical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DANCE107x2 Beginning Tap Dance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Historical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DANCE114X4 Dance Rehearsal and Performance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Historical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DANCE200 Dance History and Appreciation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Historical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</w:tr>
      <w:tr w:rsidR="00C16871" w:rsidRPr="00C16871" w:rsidTr="00C16871"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  <w:hideMark/>
          </w:tcPr>
          <w:p w:rsidR="00C16871" w:rsidRPr="00C16871" w:rsidRDefault="00C16871" w:rsidP="00C16871">
            <w:r w:rsidRPr="00C16871">
              <w:rPr>
                <w:b/>
                <w:bCs/>
              </w:rPr>
              <w:t>Arts &amp; Humanities</w:t>
            </w:r>
          </w:p>
        </w:tc>
      </w:tr>
      <w:tr w:rsidR="00C16871" w:rsidRPr="00C16871" w:rsidTr="00C16871"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lastRenderedPageBreak/>
              <w:t>        </w:t>
            </w:r>
            <w:r w:rsidRPr="00C16871">
              <w:rPr>
                <w:b/>
                <w:bCs/>
              </w:rPr>
              <w:t>Theatre Arts</w:t>
            </w:r>
          </w:p>
        </w:tc>
      </w:tr>
      <w:tr w:rsidR="00C16871" w:rsidRPr="00C16871" w:rsidTr="00C16871">
        <w:tc>
          <w:tcPr>
            <w:tcW w:w="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rPr>
                <w:b/>
                <w:bCs/>
              </w:rPr>
              <w:t>Course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rPr>
                <w:b/>
                <w:bCs/>
              </w:rPr>
              <w:t>Status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rPr>
                <w:b/>
                <w:bCs/>
              </w:rPr>
              <w:t>Last Content Review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rPr>
                <w:b/>
                <w:bCs/>
              </w:rPr>
              <w:t>Next Review Date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THART100 Introduction to the Theatre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THART110 Beginning Voice and Diction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THART114X4 Theatre Practicum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THART120 Acting Fundamentals 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THART121 Acting Fundamentals II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THART131 Sound for Stage and Screen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01/11/2014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THART132 Lighting for Stage and Screen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04/12/2010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04/12/2016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THART135 Directing Fundamentals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THART136 Fundamentals of Stage Design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01/11/2014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THART139 Fundamentals of Costume Design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01/11/2014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THART147 Beginning Theatre Movement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01/11/2014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THART160X4 Theatre Crafts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THART165 Stage Makeup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THART166 Improvisational Acting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01/11/2014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THART222 Independent Study in Theatre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Active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11/28/2011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11/28/2017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THART100 Introduction to the Theatre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Pending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THART110 Beginning Voice and Diction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Pending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THART120 Acting Fundamentals 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Pending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THART121 Acting Fundamentals II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Pending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THART131 Sound for Stage and Screen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Pending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01/11/2014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lastRenderedPageBreak/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THART136 Fundamentals of Stage Design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Pending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01/11/2014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THART139 Fundamentals of Costume Design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Pending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01/11/2014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THART147 Beginning Theatre Movement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Pending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01/11/2014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THART160X4 Stagecraft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Pending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THART165 Stage Makeup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Pending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THART166 Improvisational Acting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Pending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01/11/2008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01/11/2014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THART114X4 Rehearsal and Performance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Launched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THART135 Directing Fundamentals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Launched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032FB" w:rsidRDefault="00C16871" w:rsidP="00C16871">
            <w:r w:rsidRPr="00C032FB">
              <w:t>04/15/2008</w:t>
            </w:r>
          </w:p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THART132 Lighting for Stage and Screen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Historical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THART132 Lighting for Stage and Screen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Historical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</w:tr>
      <w:tr w:rsidR="00C16871" w:rsidRPr="00C16871" w:rsidTr="00C16871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THART222 Independent Study in Theatre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>
            <w:r w:rsidRPr="00C16871">
              <w:t>Historical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C16871" w:rsidRPr="00C16871" w:rsidRDefault="00C16871" w:rsidP="00C16871"/>
        </w:tc>
      </w:tr>
    </w:tbl>
    <w:p w:rsidR="005A546A" w:rsidRDefault="005A546A" w:rsidP="00845215">
      <w:pPr>
        <w:rPr>
          <w:rFonts w:asciiTheme="minorHAnsi" w:hAnsiTheme="minorHAnsi" w:cs="Arial"/>
          <w:b/>
        </w:rPr>
      </w:pPr>
    </w:p>
    <w:sectPr w:rsidR="005A546A" w:rsidSect="00623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3BCC"/>
    <w:multiLevelType w:val="hybridMultilevel"/>
    <w:tmpl w:val="70D65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253EC"/>
    <w:multiLevelType w:val="hybridMultilevel"/>
    <w:tmpl w:val="78D4F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A5FB0"/>
    <w:multiLevelType w:val="hybridMultilevel"/>
    <w:tmpl w:val="7F3A6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9B7F54"/>
    <w:multiLevelType w:val="hybridMultilevel"/>
    <w:tmpl w:val="DEE47CA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7A291BA">
      <w:start w:val="2"/>
      <w:numFmt w:val="lowerLetter"/>
      <w:lvlText w:val="%4."/>
      <w:lvlJc w:val="left"/>
      <w:pPr>
        <w:tabs>
          <w:tab w:val="num" w:pos="2565"/>
        </w:tabs>
        <w:ind w:left="2565" w:hanging="405"/>
      </w:pPr>
      <w:rPr>
        <w:rFonts w:hint="default"/>
      </w:rPr>
    </w:lvl>
    <w:lvl w:ilvl="4" w:tplc="757ED73E">
      <w:start w:val="2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2A03"/>
    <w:rsid w:val="000C0044"/>
    <w:rsid w:val="000D5FD0"/>
    <w:rsid w:val="001310F2"/>
    <w:rsid w:val="001B1CC8"/>
    <w:rsid w:val="001B1E72"/>
    <w:rsid w:val="00342BCD"/>
    <w:rsid w:val="00384B45"/>
    <w:rsid w:val="003B353F"/>
    <w:rsid w:val="003B4C28"/>
    <w:rsid w:val="003F3510"/>
    <w:rsid w:val="00404C2A"/>
    <w:rsid w:val="00436F06"/>
    <w:rsid w:val="004C0095"/>
    <w:rsid w:val="004D0F5C"/>
    <w:rsid w:val="004D3C88"/>
    <w:rsid w:val="00540D4D"/>
    <w:rsid w:val="005A546A"/>
    <w:rsid w:val="00623405"/>
    <w:rsid w:val="00660969"/>
    <w:rsid w:val="006B45CA"/>
    <w:rsid w:val="006E3FC7"/>
    <w:rsid w:val="006F142F"/>
    <w:rsid w:val="007503B4"/>
    <w:rsid w:val="007B7FED"/>
    <w:rsid w:val="00845215"/>
    <w:rsid w:val="008900BB"/>
    <w:rsid w:val="008E65DD"/>
    <w:rsid w:val="00A65F04"/>
    <w:rsid w:val="00B2433D"/>
    <w:rsid w:val="00B91256"/>
    <w:rsid w:val="00BA10C6"/>
    <w:rsid w:val="00BD4CB8"/>
    <w:rsid w:val="00C032FB"/>
    <w:rsid w:val="00C16871"/>
    <w:rsid w:val="00C40707"/>
    <w:rsid w:val="00C96764"/>
    <w:rsid w:val="00CA6CA0"/>
    <w:rsid w:val="00CD4FD9"/>
    <w:rsid w:val="00CF2A03"/>
    <w:rsid w:val="00D16AD1"/>
    <w:rsid w:val="00DA71EC"/>
    <w:rsid w:val="00E06D22"/>
    <w:rsid w:val="00E6774D"/>
    <w:rsid w:val="00E97256"/>
    <w:rsid w:val="00EE2EAB"/>
    <w:rsid w:val="00F030F7"/>
    <w:rsid w:val="00F84D63"/>
    <w:rsid w:val="00FC3FEE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46A"/>
    <w:rPr>
      <w:b/>
      <w:bCs/>
    </w:rPr>
  </w:style>
  <w:style w:type="paragraph" w:styleId="ListParagraph">
    <w:name w:val="List Paragraph"/>
    <w:basedOn w:val="Normal"/>
    <w:uiPriority w:val="34"/>
    <w:qFormat/>
    <w:rsid w:val="000D5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546A"/>
    <w:rPr>
      <w:b/>
      <w:bCs/>
    </w:rPr>
  </w:style>
  <w:style w:type="paragraph" w:styleId="ListParagraph">
    <w:name w:val="List Paragraph"/>
    <w:basedOn w:val="Normal"/>
    <w:uiPriority w:val="34"/>
    <w:qFormat/>
    <w:rsid w:val="000D5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009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1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edc.org/reports/forecastreport_online.pdf" TargetMode="Externa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abyrinth\Depts\Research%20&amp;%20Planning\Educational%20Master%20Plan\Data\Other%20Tables%20&amp;%20Charts\Department%20FTES%20charts%2004-10%20SBVC%20&amp;%20SOFF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abyrinth\Depts\Research%20&amp;%20Planning\Educational%20Master%20Plan\Data\Other%20Tables%20&amp;%20Charts\Department%20FTES%20charts%2004-10%20SBVC%20&amp;%20SOFF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'VTHA Theater Arts'!$B$27</c:f>
              <c:strCache>
                <c:ptCount val="1"/>
                <c:pt idx="0">
                  <c:v>Success</c:v>
                </c:pt>
              </c:strCache>
            </c:strRef>
          </c:tx>
          <c:cat>
            <c:strRef>
              <c:f>'VTHA Theater Arts'!$A$28:$A$33</c:f>
              <c:strCache>
                <c:ptCount val="6"/>
                <c:pt idx="0">
                  <c:v>04-05</c:v>
                </c:pt>
                <c:pt idx="1">
                  <c:v>05-06</c:v>
                </c:pt>
                <c:pt idx="2">
                  <c:v>06-07</c:v>
                </c:pt>
                <c:pt idx="3">
                  <c:v>07-08</c:v>
                </c:pt>
                <c:pt idx="4">
                  <c:v>08-09</c:v>
                </c:pt>
                <c:pt idx="5">
                  <c:v>09-10</c:v>
                </c:pt>
              </c:strCache>
            </c:strRef>
          </c:cat>
          <c:val>
            <c:numRef>
              <c:f>'VTHA Theater Arts'!$B$28:$B$33</c:f>
              <c:numCache>
                <c:formatCode>0%</c:formatCode>
                <c:ptCount val="6"/>
                <c:pt idx="0">
                  <c:v>0.65000000000000169</c:v>
                </c:pt>
                <c:pt idx="1">
                  <c:v>0.74000000000000132</c:v>
                </c:pt>
                <c:pt idx="2">
                  <c:v>0.78</c:v>
                </c:pt>
                <c:pt idx="3">
                  <c:v>0.78</c:v>
                </c:pt>
                <c:pt idx="4">
                  <c:v>0.76000000000000145</c:v>
                </c:pt>
                <c:pt idx="5">
                  <c:v>0.75000000000000144</c:v>
                </c:pt>
              </c:numCache>
            </c:numRef>
          </c:val>
        </c:ser>
        <c:ser>
          <c:idx val="1"/>
          <c:order val="1"/>
          <c:tx>
            <c:strRef>
              <c:f>'VTHA Theater Arts'!$C$27</c:f>
              <c:strCache>
                <c:ptCount val="1"/>
                <c:pt idx="0">
                  <c:v>Retention</c:v>
                </c:pt>
              </c:strCache>
            </c:strRef>
          </c:tx>
          <c:cat>
            <c:strRef>
              <c:f>'VTHA Theater Arts'!$A$28:$A$33</c:f>
              <c:strCache>
                <c:ptCount val="6"/>
                <c:pt idx="0">
                  <c:v>04-05</c:v>
                </c:pt>
                <c:pt idx="1">
                  <c:v>05-06</c:v>
                </c:pt>
                <c:pt idx="2">
                  <c:v>06-07</c:v>
                </c:pt>
                <c:pt idx="3">
                  <c:v>07-08</c:v>
                </c:pt>
                <c:pt idx="4">
                  <c:v>08-09</c:v>
                </c:pt>
                <c:pt idx="5">
                  <c:v>09-10</c:v>
                </c:pt>
              </c:strCache>
            </c:strRef>
          </c:cat>
          <c:val>
            <c:numRef>
              <c:f>'VTHA Theater Arts'!$C$28:$C$33</c:f>
              <c:numCache>
                <c:formatCode>0%</c:formatCode>
                <c:ptCount val="6"/>
                <c:pt idx="0">
                  <c:v>0.73000000000000065</c:v>
                </c:pt>
                <c:pt idx="1">
                  <c:v>0.91</c:v>
                </c:pt>
                <c:pt idx="2">
                  <c:v>0.9</c:v>
                </c:pt>
                <c:pt idx="3">
                  <c:v>0.84000000000000064</c:v>
                </c:pt>
                <c:pt idx="4">
                  <c:v>0.84000000000000064</c:v>
                </c:pt>
                <c:pt idx="5">
                  <c:v>0.91</c:v>
                </c:pt>
              </c:numCache>
            </c:numRef>
          </c:val>
        </c:ser>
        <c:marker val="1"/>
        <c:axId val="62115840"/>
        <c:axId val="62117376"/>
      </c:lineChart>
      <c:catAx>
        <c:axId val="62115840"/>
        <c:scaling>
          <c:orientation val="minMax"/>
        </c:scaling>
        <c:axPos val="b"/>
        <c:majorTickMark val="none"/>
        <c:tickLblPos val="nextTo"/>
        <c:crossAx val="62117376"/>
        <c:crosses val="autoZero"/>
        <c:auto val="1"/>
        <c:lblAlgn val="ctr"/>
        <c:lblOffset val="100"/>
      </c:catAx>
      <c:valAx>
        <c:axId val="62117376"/>
        <c:scaling>
          <c:orientation val="minMax"/>
          <c:min val="0.2"/>
        </c:scaling>
        <c:axPos val="l"/>
        <c:majorGridlines/>
        <c:numFmt formatCode="0%" sourceLinked="1"/>
        <c:majorTickMark val="none"/>
        <c:tickLblPos val="nextTo"/>
        <c:crossAx val="621158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autoTitleDeleted val="1"/>
    <c:plotArea>
      <c:layout/>
      <c:lineChart>
        <c:grouping val="standard"/>
        <c:ser>
          <c:idx val="0"/>
          <c:order val="0"/>
          <c:tx>
            <c:strRef>
              <c:f>'VDNC Dance'!$B$26</c:f>
              <c:strCache>
                <c:ptCount val="1"/>
                <c:pt idx="0">
                  <c:v>Success</c:v>
                </c:pt>
              </c:strCache>
            </c:strRef>
          </c:tx>
          <c:cat>
            <c:strRef>
              <c:f>'VDNC Dance'!$A$27:$A$32</c:f>
              <c:strCache>
                <c:ptCount val="6"/>
                <c:pt idx="0">
                  <c:v>04-05</c:v>
                </c:pt>
                <c:pt idx="1">
                  <c:v>05-06</c:v>
                </c:pt>
                <c:pt idx="2">
                  <c:v>06-07</c:v>
                </c:pt>
                <c:pt idx="3">
                  <c:v>07-08</c:v>
                </c:pt>
                <c:pt idx="4">
                  <c:v>08-09</c:v>
                </c:pt>
                <c:pt idx="5">
                  <c:v>09-10</c:v>
                </c:pt>
              </c:strCache>
            </c:strRef>
          </c:cat>
          <c:val>
            <c:numRef>
              <c:f>'VDNC Dance'!$B$27:$B$32</c:f>
              <c:numCache>
                <c:formatCode>0%</c:formatCode>
                <c:ptCount val="6"/>
                <c:pt idx="0">
                  <c:v>0</c:v>
                </c:pt>
                <c:pt idx="1">
                  <c:v>0.46</c:v>
                </c:pt>
                <c:pt idx="2">
                  <c:v>0.45</c:v>
                </c:pt>
                <c:pt idx="3">
                  <c:v>0.46</c:v>
                </c:pt>
                <c:pt idx="4">
                  <c:v>0.63000000000000156</c:v>
                </c:pt>
                <c:pt idx="5">
                  <c:v>0.63000000000000156</c:v>
                </c:pt>
              </c:numCache>
            </c:numRef>
          </c:val>
        </c:ser>
        <c:ser>
          <c:idx val="1"/>
          <c:order val="1"/>
          <c:tx>
            <c:strRef>
              <c:f>'VDNC Dance'!$C$26</c:f>
              <c:strCache>
                <c:ptCount val="1"/>
                <c:pt idx="0">
                  <c:v>Retention</c:v>
                </c:pt>
              </c:strCache>
            </c:strRef>
          </c:tx>
          <c:cat>
            <c:strRef>
              <c:f>'VDNC Dance'!$A$27:$A$32</c:f>
              <c:strCache>
                <c:ptCount val="6"/>
                <c:pt idx="0">
                  <c:v>04-05</c:v>
                </c:pt>
                <c:pt idx="1">
                  <c:v>05-06</c:v>
                </c:pt>
                <c:pt idx="2">
                  <c:v>06-07</c:v>
                </c:pt>
                <c:pt idx="3">
                  <c:v>07-08</c:v>
                </c:pt>
                <c:pt idx="4">
                  <c:v>08-09</c:v>
                </c:pt>
                <c:pt idx="5">
                  <c:v>09-10</c:v>
                </c:pt>
              </c:strCache>
            </c:strRef>
          </c:cat>
          <c:val>
            <c:numRef>
              <c:f>'VDNC Dance'!$C$27:$C$32</c:f>
              <c:numCache>
                <c:formatCode>0%</c:formatCode>
                <c:ptCount val="6"/>
                <c:pt idx="0">
                  <c:v>0</c:v>
                </c:pt>
                <c:pt idx="1">
                  <c:v>0.74000000000000143</c:v>
                </c:pt>
                <c:pt idx="2">
                  <c:v>0.67000000000000193</c:v>
                </c:pt>
                <c:pt idx="3">
                  <c:v>0.72000000000000064</c:v>
                </c:pt>
                <c:pt idx="4">
                  <c:v>0.77000000000000168</c:v>
                </c:pt>
                <c:pt idx="5">
                  <c:v>0.79</c:v>
                </c:pt>
              </c:numCache>
            </c:numRef>
          </c:val>
        </c:ser>
        <c:marker val="1"/>
        <c:axId val="66182528"/>
        <c:axId val="66225280"/>
      </c:lineChart>
      <c:catAx>
        <c:axId val="66182528"/>
        <c:scaling>
          <c:orientation val="minMax"/>
        </c:scaling>
        <c:axPos val="b"/>
        <c:majorTickMark val="none"/>
        <c:tickLblPos val="nextTo"/>
        <c:crossAx val="66225280"/>
        <c:crosses val="autoZero"/>
        <c:auto val="1"/>
        <c:lblAlgn val="ctr"/>
        <c:lblOffset val="100"/>
      </c:catAx>
      <c:valAx>
        <c:axId val="66225280"/>
        <c:scaling>
          <c:orientation val="minMax"/>
          <c:min val="0"/>
        </c:scaling>
        <c:axPos val="l"/>
        <c:majorGridlines/>
        <c:numFmt formatCode="0%" sourceLinked="1"/>
        <c:majorTickMark val="none"/>
        <c:tickLblPos val="nextTo"/>
        <c:crossAx val="66182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00C4E-0A3B-470C-ACDC-A752753F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1926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SBVC</Company>
  <LinksUpToDate>false</LinksUpToDate>
  <CharactersWithSpaces>12885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chuston</dc:creator>
  <cp:lastModifiedBy>chuston</cp:lastModifiedBy>
  <cp:revision>2</cp:revision>
  <dcterms:created xsi:type="dcterms:W3CDTF">2012-04-27T18:12:00Z</dcterms:created>
  <dcterms:modified xsi:type="dcterms:W3CDTF">2012-04-27T18:12:00Z</dcterms:modified>
</cp:coreProperties>
</file>